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100" w:before="120" w:lineRule="auto"/>
        <w:contextualSpacing w:val="0"/>
        <w:jc w:val="center"/>
      </w:pPr>
      <w:r w:rsidDel="00000000" w:rsidR="00000000" w:rsidRPr="00000000">
        <w:rPr>
          <w:color w:val="ff2211"/>
          <w:sz w:val="39"/>
          <w:szCs w:val="39"/>
          <w:highlight w:val="white"/>
          <w:rtl w:val="0"/>
        </w:rPr>
        <w:t xml:space="preserve">Neurális interfészek és protézisek 2015/16 I. félév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252b37"/>
          <w:sz w:val="32"/>
          <w:szCs w:val="32"/>
          <w:highlight w:val="white"/>
          <w:rtl w:val="0"/>
        </w:rPr>
        <w:t xml:space="preserve">Vizsgatételsor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eprsec99ym4o">
        <w:r w:rsidDel="00000000" w:rsidR="00000000" w:rsidRPr="00000000">
          <w:rPr>
            <w:color w:val="1155cc"/>
            <w:u w:val="single"/>
            <w:rtl w:val="0"/>
          </w:rPr>
          <w:t xml:space="preserve">1. A membránpotenciál létrejöttéért felelős tényezők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ivz631z5xg6b">
        <w:r w:rsidDel="00000000" w:rsidR="00000000" w:rsidRPr="00000000">
          <w:rPr>
            <w:color w:val="1155cc"/>
            <w:u w:val="single"/>
            <w:rtl w:val="0"/>
          </w:rPr>
          <w:t xml:space="preserve">2. Elektromos inger hatása az idegsejt membrán potenciáljára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ehd41f4c32g3">
        <w:r w:rsidDel="00000000" w:rsidR="00000000" w:rsidRPr="00000000">
          <w:rPr>
            <w:color w:val="1155cc"/>
            <w:u w:val="single"/>
            <w:rtl w:val="0"/>
          </w:rPr>
          <w:t xml:space="preserve">3. Funkcionális elektromos ingerlés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62amege9txzx">
        <w:r w:rsidDel="00000000" w:rsidR="00000000" w:rsidRPr="00000000">
          <w:rPr>
            <w:color w:val="1155cc"/>
            <w:u w:val="single"/>
            <w:rtl w:val="0"/>
          </w:rPr>
          <w:t xml:space="preserve">4. Mi a sztereotaxiás célzás és a neuronavigáció, alkalmazási területeik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oo6jsaz7ldod">
        <w:r w:rsidDel="00000000" w:rsidR="00000000" w:rsidRPr="00000000">
          <w:rPr>
            <w:color w:val="1155cc"/>
            <w:u w:val="single"/>
            <w:rtl w:val="0"/>
          </w:rPr>
          <w:t xml:space="preserve">5. Agyi elektromos ingerlés terápiás alkalmazása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t2yzewxbli2r">
        <w:r w:rsidDel="00000000" w:rsidR="00000000" w:rsidRPr="00000000">
          <w:rPr>
            <w:color w:val="1155cc"/>
            <w:u w:val="single"/>
            <w:rtl w:val="0"/>
          </w:rPr>
          <w:t xml:space="preserve">6. Transzkraniális mágneses ingerlés, transzkraniális DC ingerlés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sv9fn0gwcm2o">
        <w:r w:rsidDel="00000000" w:rsidR="00000000" w:rsidRPr="00000000">
          <w:rPr>
            <w:color w:val="1155cc"/>
            <w:u w:val="single"/>
            <w:rtl w:val="0"/>
          </w:rPr>
          <w:t xml:space="preserve">7. Eseményhez kötött potenciálok alkalmazása agy-számítógép kapcsolat létrehozására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ivsifur14v3i">
        <w:r w:rsidDel="00000000" w:rsidR="00000000" w:rsidRPr="00000000">
          <w:rPr>
            <w:color w:val="1155cc"/>
            <w:u w:val="single"/>
            <w:rtl w:val="0"/>
          </w:rPr>
          <w:t xml:space="preserve">10.  A külső szőrsejtek jelentősége a cochlea működésében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b73shqk3guq0">
        <w:r w:rsidDel="00000000" w:rsidR="00000000" w:rsidRPr="00000000">
          <w:rPr>
            <w:color w:val="1155cc"/>
            <w:u w:val="single"/>
            <w:rtl w:val="0"/>
          </w:rPr>
          <w:t xml:space="preserve">11.</w:t>
          <w:tab/>
          <w:t xml:space="preserve">A vezetéses hallászavarok korrekciója protézisekkel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7mw06aexk0q0">
        <w:r w:rsidDel="00000000" w:rsidR="00000000" w:rsidRPr="00000000">
          <w:rPr>
            <w:color w:val="1155cc"/>
            <w:u w:val="single"/>
            <w:rtl w:val="0"/>
          </w:rPr>
          <w:t xml:space="preserve">12.</w:t>
          <w:tab/>
          <w:t xml:space="preserve">A cochleáris protézis működési elve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redjispngpj5">
        <w:r w:rsidDel="00000000" w:rsidR="00000000" w:rsidRPr="00000000">
          <w:rPr>
            <w:color w:val="1155cc"/>
            <w:u w:val="single"/>
            <w:rtl w:val="0"/>
          </w:rPr>
          <w:t xml:space="preserve">13.</w:t>
          <w:tab/>
          <w:t xml:space="preserve">A cochleáris protéziseknél alkalmazott ingerlési stratégiák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 w:firstLine="0"/>
        <w:contextualSpacing w:val="0"/>
      </w:pPr>
      <w:hyperlink w:anchor="_y4c1a5u52jzq">
        <w:r w:rsidDel="00000000" w:rsidR="00000000" w:rsidRPr="00000000">
          <w:rPr>
            <w:color w:val="1155cc"/>
            <w:u w:val="single"/>
            <w:rtl w:val="0"/>
          </w:rPr>
          <w:t xml:space="preserve">14. Retina protézis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8. A „Thought Translation Device” és EEG jel alkalmazása agy-számítógép kapcsolatra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9. Sejtelvezetés alkalmazása agy-számítógép kapcsolat létrehozására</w:t>
      </w:r>
    </w:p>
    <w:p w:rsidR="00000000" w:rsidDel="00000000" w:rsidP="00000000" w:rsidRDefault="00000000" w:rsidRPr="00000000">
      <w:pPr>
        <w:spacing w:line="360" w:lineRule="auto"/>
        <w:contextualSpacing w:val="0"/>
      </w:pPr>
      <w:hyperlink w:anchor="_y4c1a5u52jzq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14. Retina protézis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Egyéb eddig talált és valamilyen szinten kidolgozott tételek:</w:t>
        <w:br w:type="textWrapping"/>
      </w:r>
      <w:hyperlink r:id="rId5">
        <w:r w:rsidDel="00000000" w:rsidR="00000000" w:rsidRPr="00000000">
          <w:rPr>
            <w:color w:val="1155cc"/>
            <w:u w:val="single"/>
            <w:rtl w:val="0"/>
          </w:rPr>
          <w:t xml:space="preserve">http://digitus.itk.ppke.hu/~cseri/edu/Diploma/ElfizII/Beszamolok/Elfiz2_tetelek.pdf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http://digitus.itk.ppke.hu/~fegan/allamvizsga/ELFIZ_II_by_fegan.pdf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Készítették: Szabó Ágnes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        Kozma Richárd</w:t>
      </w:r>
    </w:p>
    <w:p w:rsidR="00000000" w:rsidDel="00000000" w:rsidP="00000000" w:rsidRDefault="00000000" w:rsidRPr="00000000">
      <w:pPr>
        <w:ind w:left="720" w:firstLine="720"/>
        <w:contextualSpacing w:val="0"/>
      </w:pPr>
      <w:r w:rsidDel="00000000" w:rsidR="00000000" w:rsidRPr="00000000">
        <w:rPr>
          <w:rtl w:val="0"/>
        </w:rPr>
        <w:t xml:space="preserve">TJ</w:t>
      </w:r>
    </w:p>
    <w:p w:rsidR="00000000" w:rsidDel="00000000" w:rsidP="00000000" w:rsidRDefault="00000000" w:rsidRPr="00000000">
      <w:pPr>
        <w:ind w:left="720" w:firstLine="720"/>
        <w:contextualSpacing w:val="0"/>
      </w:pPr>
      <w:r w:rsidDel="00000000" w:rsidR="00000000" w:rsidRPr="00000000">
        <w:rPr>
          <w:rtl w:val="0"/>
        </w:rPr>
        <w:t xml:space="preserve">Kovács Feri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ab/>
        <w:t xml:space="preserve">írjátok be magatokat!!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eprsec99ym4o" w:id="0"/>
      <w:bookmarkEnd w:id="0"/>
      <w:r w:rsidDel="00000000" w:rsidR="00000000" w:rsidRPr="00000000">
        <w:rPr>
          <w:rtl w:val="0"/>
        </w:rPr>
        <w:t xml:space="preserve">1. A membránpotenciál létrejöttéért felelős tényezők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b w:val="1"/>
          <w:color w:val="252b37"/>
          <w:sz w:val="24"/>
          <w:szCs w:val="24"/>
          <w:highlight w:val="white"/>
          <w:rtl w:val="0"/>
        </w:rPr>
        <w:t xml:space="preserve">(Elfiz I. 3. diasor, Elfiz II. 1. ea.)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Sejt membrán: foszfolipid kettősréteg vizes közegben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jó elektromos szigetelő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ionokat, töltött molekulákat; nagy, vízoldékony molekulákat NEM enged át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vizet és vízoldékony, kicsi, töltés nélküli molekulákat átenged</w:t>
      </w:r>
    </w:p>
    <w:p w:rsidR="00000000" w:rsidDel="00000000" w:rsidP="00000000" w:rsidRDefault="00000000" w:rsidRPr="00000000">
      <w:pPr>
        <w:numPr>
          <w:ilvl w:val="0"/>
          <w:numId w:val="1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zsíroldékony molekulák a membránba oldódhatnak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Kettős rétegben: ioncsatornák, perifériás fehérjék, transzmembrán fehérjék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Két fő folyamat: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diffúzió eltérő koncentrációjú terek között: </w:t>
      </w:r>
    </w:p>
    <w:p w:rsidR="00000000" w:rsidDel="00000000" w:rsidP="00000000" w:rsidRDefault="00000000" w:rsidRPr="00000000">
      <w:pPr>
        <w:numPr>
          <w:ilvl w:val="1"/>
          <w:numId w:val="15"/>
        </w:numPr>
        <w:ind w:left="1440" w:hanging="360"/>
        <w:contextualSpacing w:val="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nagy c → kis c</w:t>
      </w:r>
    </w:p>
    <w:p w:rsidR="00000000" w:rsidDel="00000000" w:rsidP="00000000" w:rsidRDefault="00000000" w:rsidRPr="00000000">
      <w:pPr>
        <w:numPr>
          <w:ilvl w:val="1"/>
          <w:numId w:val="15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passzív transzport: konc. gradienssel egyirányú</w:t>
      </w:r>
    </w:p>
    <w:p w:rsidR="00000000" w:rsidDel="00000000" w:rsidP="00000000" w:rsidRDefault="00000000" w:rsidRPr="00000000">
      <w:pPr>
        <w:numPr>
          <w:ilvl w:val="0"/>
          <w:numId w:val="15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ionmozgás elektromos térben:</w:t>
      </w:r>
    </w:p>
    <w:p w:rsidR="00000000" w:rsidDel="00000000" w:rsidP="00000000" w:rsidRDefault="00000000" w:rsidRPr="00000000">
      <w:pPr>
        <w:numPr>
          <w:ilvl w:val="1"/>
          <w:numId w:val="15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poz. és neg. potenciál között </w:t>
      </w:r>
    </w:p>
    <w:p w:rsidR="00000000" w:rsidDel="00000000" w:rsidP="00000000" w:rsidRDefault="00000000" w:rsidRPr="00000000">
      <w:pPr>
        <w:numPr>
          <w:ilvl w:val="1"/>
          <w:numId w:val="15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kiegyenlítődésre törekszenek a töltések (+ a - felé és fordítva)</w:t>
      </w:r>
    </w:p>
    <w:p w:rsidR="00000000" w:rsidDel="00000000" w:rsidP="00000000" w:rsidRDefault="00000000" w:rsidRPr="00000000">
      <w:pPr>
        <w:numPr>
          <w:ilvl w:val="1"/>
          <w:numId w:val="15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ionáramhoz: ion konc. különbség a membrán két oldala között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Koncentráció különbség, Elektromos tér →Ionáramlás → Töltéseloszlási különbség → Nyugalmi potenciál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Ioncsatornák: (speckó membránfehérjék)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passzív transzport: nem kell E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aktív transzport: transzporter/pumpa: ATP → ADP kell E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ligand vezérelt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feszültségvezérelt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ion mozgása: diffúzió a sejtből kifelé viszi (K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többlet intracell)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ab/>
        <w:t xml:space="preserve">elektromos erő befelé viszi (extracell + többlet)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u w:val="single"/>
          <w:rtl w:val="0"/>
        </w:rPr>
        <w:t xml:space="preserve">Nyugalmi membránpotenciál (Vr):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Élő sejtben az [K+]intracell &gt; [K+]extracell és [Na+]i &lt; [Na+]e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Élő sejtben nyugalmi helyzetben a K+ sokkal könnyebben átmegy (permeábilisabb) a membránon mint bármely más ion. Ha pK=1 akkor pNa=0.1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Nagyon kevés ion vándorol, a koncentráció gyakorlatilag nem változik.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 nyugalmi potenciálnál a “vándorlás” egyenlítődék ki. I</w:t>
      </w:r>
      <w:r w:rsidDel="00000000" w:rsidR="00000000" w:rsidRPr="00000000">
        <w:rPr>
          <w:vertAlign w:val="subscript"/>
          <w:rtl w:val="0"/>
        </w:rPr>
        <w:t xml:space="preserve">diff</w:t>
      </w:r>
      <w:r w:rsidDel="00000000" w:rsidR="00000000" w:rsidRPr="00000000">
        <w:rPr>
          <w:rtl w:val="0"/>
        </w:rPr>
        <w:t xml:space="preserve"> + I</w:t>
      </w:r>
      <w:r w:rsidDel="00000000" w:rsidR="00000000" w:rsidRPr="00000000">
        <w:rPr>
          <w:vertAlign w:val="subscript"/>
          <w:rtl w:val="0"/>
        </w:rPr>
        <w:t xml:space="preserve">E</w:t>
      </w:r>
      <w:r w:rsidDel="00000000" w:rsidR="00000000" w:rsidRPr="00000000">
        <w:rPr>
          <w:rtl w:val="0"/>
        </w:rPr>
        <w:t xml:space="preserve"> = 0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Nernst egyenlet: A nyugalmi potenciált az extra- és intracelluláris ionok aránya állítja be</w:t>
      </w:r>
    </w:p>
    <w:p w:rsidR="00000000" w:rsidDel="00000000" w:rsidP="00000000" w:rsidRDefault="00000000" w:rsidRPr="00000000">
      <w:pPr>
        <w:contextualSpacing w:val="0"/>
      </w:pPr>
      <m:oMath>
        <m:r>
          <w:rPr/>
          <m:t xml:space="preserve">Vr = (Vi-Ve)=(</m:t>
        </m:r>
        <m:f>
          <m:fPr>
            <m:ctrlPr>
              <w:rPr/>
            </m:ctrlPr>
          </m:fPr>
          <m:num>
            <m:r>
              <w:rPr/>
              <m:t xml:space="preserve">R*T</m:t>
            </m:r>
          </m:num>
          <m:den>
            <m:r>
              <w:rPr/>
              <m:t xml:space="preserve">Zp * F</m:t>
            </m:r>
          </m:den>
        </m:f>
        <m:r>
          <w:rPr/>
          <m:t xml:space="preserve">) - ln (</m:t>
        </m:r>
        <m:f>
          <m:fPr>
            <m:ctrlPr>
              <w:rPr/>
            </m:ctrlPr>
          </m:fPr>
          <m:num>
            <m:r>
              <w:rPr/>
              <m:t xml:space="preserve">[Cp]e</m:t>
            </m:r>
          </m:num>
          <m:den>
            <m:r>
              <w:rPr/>
              <m:t xml:space="preserve">[Cp]i</m:t>
            </m:r>
          </m:den>
        </m:f>
        <m:r>
          <w:rPr/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 nyugalmi membránpotenciál minden sejt típusnál más, a</w:t>
      </w:r>
      <w:r w:rsidDel="00000000" w:rsidR="00000000" w:rsidRPr="00000000">
        <w:drawing>
          <wp:inline distB="114300" distT="114300" distL="114300" distR="114300">
            <wp:extent cx="6607373" cy="4805363"/>
            <wp:effectExtent b="0" l="0" r="0" t="0"/>
            <wp:docPr id="1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 b="3496" l="0" r="118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7373" cy="4805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legkönnyebben átjáró ion nyugalmi MP-hoz tolódik el.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Feszültség vezérelt Na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csatorna: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nyugalmi állapotban: m gate zárva, h gate nyitva (-75 mV)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depolarizál a membrán: m gate kinyit (-50 mV)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inaktív csatorna: h gate bezár (5 msec after dep.)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ivz631z5xg6b" w:id="1"/>
      <w:bookmarkEnd w:id="1"/>
      <w:r w:rsidDel="00000000" w:rsidR="00000000" w:rsidRPr="00000000">
        <w:rPr>
          <w:rtl w:val="0"/>
        </w:rPr>
        <w:t xml:space="preserve">2. Elektromos inger hatása az idegsejt membrán potenciáljára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0" w:before="0" w:line="360" w:lineRule="auto"/>
        <w:ind w:left="0" w:right="0" w:firstLine="0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667250" cy="3105150"/>
            <wp:effectExtent b="0" l="0" r="0" t="0"/>
            <wp:docPr id="30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"/>
                    <a:srcRect b="0" l="0" r="0" t="790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Elektromos ingerlés: elektromos áram hatása az ideg-izomsejtben létrejövő funkcionális változás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Mi kell hozz: ingerelhető sejt, elektromos áram, ingerlő elektróda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Elektromos áram: áram tér létrehozása, potenciál meghatározása, csatornák elhelyezkedése fontos → axondombon feszültség vezérelt ioncsatornák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457700" cy="3238500"/>
            <wp:effectExtent b="0" l="0" r="0" t="0"/>
            <wp:docPr id="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4275725" cy="2862263"/>
            <wp:effectExtent b="0" l="0" r="0" t="0"/>
            <wp:wrapSquare wrapText="bothSides" distB="114300" distT="114300" distL="114300" distR="114300"/>
            <wp:docPr id="2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5725" cy="2862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axondombon neg. elektród, áramsűrűség a két eletród között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Monopólus potenciál: sugárral fordítottan arányos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Dipólus elektromos tere: pot. sugár négyzettel arányos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Extracell esetben a potenciál térfüggvénye lineáris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3609975" cy="2876550"/>
            <wp:effectExtent b="0" l="0" r="0" t="0"/>
            <wp:wrapSquare wrapText="bothSides" distB="114300" distT="114300" distL="114300" distR="114300"/>
            <wp:docPr id="1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7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Következmény: depolarizálásnál a neg. elektródot közelítjük a sejthez → egyik elektród sincs a sejtben!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Praktikus ingerlés: az erős tér csak a sejthez nagyon közel van a sugár négyzetes függvénye miatt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(Elektródok fajtájáról, eletród potenciálról is lehet beszélni itt)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862263" cy="2672649"/>
            <wp:effectExtent b="0" l="0" r="0" t="0"/>
            <wp:docPr id="2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2672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drawing>
          <wp:inline distB="114300" distT="114300" distL="114300" distR="114300">
            <wp:extent cx="2605088" cy="2553671"/>
            <wp:effectExtent b="0" l="0" r="0" t="0"/>
            <wp:docPr id="2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2553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Különböző elektródák átviteli jellemzői: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3 komponens: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meredek váltás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konstans ~ egyenáram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új meredek váltás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minél nagyobb a bemenő impedancia annál jobb az átvitel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az anyag kiválasztásánál az a fontos, hogy mit akarok átvinni (váltást / konstans részt)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4305300" cy="3371850"/>
            <wp:effectExtent b="0" l="0" r="0" t="0"/>
            <wp:wrapSquare wrapText="bothSides" distB="114300" distT="114300" distL="114300" distR="114300"/>
            <wp:docPr id="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371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Kettős réteg (poz. ionok okozzák) felhalmozódtak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ionok áramlása az oldatba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ionok száma nő az oldatban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különböző arányú az ionok áramlása a fémből és vissza</w:t>
      </w:r>
    </w:p>
    <w:p w:rsidR="00000000" w:rsidDel="00000000" w:rsidP="00000000" w:rsidRDefault="00000000" w:rsidRPr="00000000">
      <w:pPr>
        <w:numPr>
          <w:ilvl w:val="0"/>
          <w:numId w:val="1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egyensúly, a kétirányú áramlás egyenlő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-838199</wp:posOffset>
            </wp:positionH>
            <wp:positionV relativeFrom="paragraph">
              <wp:posOffset>0</wp:posOffset>
            </wp:positionV>
            <wp:extent cx="3495675" cy="2647950"/>
            <wp:effectExtent b="0" l="0" r="0" t="0"/>
            <wp:wrapSquare wrapText="bothSides" distB="114300" distT="114300" distL="114300" distR="114300"/>
            <wp:docPr id="1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47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kondenzátor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impedancia: frekvencia függő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→ nincs kettősréteg változás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Ingerlés repetitív impulzosokkal: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 xml:space="preserve">nagy áramsűrűség → hidrolízis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ab/>
        <w:tab/>
        <w:t xml:space="preserve">       → termikus hatás      ⇒ szöveti roncsolás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ab/>
        <w:tab/>
        <w:t xml:space="preserve">       → töltés injekció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Ezért bifázisos repetitív ingerlés alkalmazásával csökkenthető a szöveti roncsolás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3128963" cy="2701864"/>
            <wp:effectExtent b="0" l="0" r="0" t="0"/>
            <wp:wrapSquare wrapText="bothSides" distB="114300" distT="114300" distL="114300" distR="114300"/>
            <wp:docPr id="1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27018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telítésbe megy át a kapcsolat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egy idő után további inger hatására sem növekszik az ingerület mértéke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962275" cy="2752725"/>
            <wp:effectExtent b="0" l="0" r="0" t="0"/>
            <wp:wrapSquare wrapText="bothSides" distB="114300" distT="114300" distL="114300" distR="114300"/>
            <wp:docPr id="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752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ismétlés mértékétől függés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nem csak gyakrabban húzódik össze, hanem az összehúzódás mértéke is nő → ez is telítődik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a cél az egyenletes összehúzódás nem a rángás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943880" cy="3319463"/>
            <wp:effectExtent b="0" l="0" r="0" t="0"/>
            <wp:docPr id="1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880" cy="3319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610100" cy="3476625"/>
            <wp:effectExtent b="0" l="0" r="0" t="0"/>
            <wp:docPr id="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Rheobázis, chronaxia: az ingerelni kívánt sejt jellemzése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Irh: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az idegsejthez képest végtelen időn vett → ms, ns-nál nagyobb nagyságrendő már végtelen idő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áram dimenzió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Chr:</w:t>
      </w:r>
    </w:p>
    <w:p w:rsidR="00000000" w:rsidDel="00000000" w:rsidP="00000000" w:rsidRDefault="00000000" w:rsidRPr="00000000">
      <w:pPr>
        <w:numPr>
          <w:ilvl w:val="0"/>
          <w:numId w:val="17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idő dimenziójú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ehd41f4c32g3" w:id="2"/>
      <w:bookmarkEnd w:id="2"/>
      <w:r w:rsidDel="00000000" w:rsidR="00000000" w:rsidRPr="00000000">
        <w:rPr>
          <w:rtl w:val="0"/>
        </w:rPr>
        <w:t xml:space="preserve">3. Funkcionális elektromos ingerlés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0" w:before="0" w:line="360" w:lineRule="auto"/>
        <w:ind w:left="0" w:right="0" w:firstLine="0"/>
        <w:contextualSpacing w:val="0"/>
        <w:jc w:val="center"/>
      </w:pPr>
      <w:r w:rsidDel="00000000" w:rsidR="00000000" w:rsidRPr="00000000">
        <w:rPr>
          <w:b w:val="1"/>
          <w:color w:val="252b37"/>
          <w:sz w:val="24"/>
          <w:szCs w:val="24"/>
          <w:highlight w:val="white"/>
          <w:rtl w:val="0"/>
        </w:rPr>
        <w:t xml:space="preserve">(Elfiz II. 2. ea. 2. diasora [egész])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u w:val="single"/>
          <w:rtl w:val="0"/>
        </w:rPr>
        <w:t xml:space="preserve">Rövid kiegészítések az ábrákhoz: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Velőtlen rost esetén akárhol ingerelhetek &lt;--&gt; Velőshüvelyű rost esetén csak a Node-okban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Extracelluláris ingerlésnél kialakuló áramviszonyok: monopoláris anód(+)/ katód(-) esetén virtuális ellenoldal alakul ki (katód/anód)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Ugyanakkora feszültség változáshoz 5x nagyobb  anodális ingerlés szükséges, mint katodális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antidrómos: szóma fele megy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bipolár hatása (K, A): töltés szétválaszódás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tripolár hatása (A,K,A): blokk - belül zárul az áramkör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Elektród pozíciója: -VE a motorpont felett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Exoskeleton: a végtag ép, az izomrendsz. is megvan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Bion microstimulator: ingerlő elektróda külső vezérléssel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Húgyhólyag beidegződése!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62amege9txzx" w:id="3"/>
      <w:bookmarkEnd w:id="3"/>
      <w:r w:rsidDel="00000000" w:rsidR="00000000" w:rsidRPr="00000000">
        <w:rPr>
          <w:rtl w:val="0"/>
        </w:rPr>
        <w:t xml:space="preserve">4. Mi a sztereotaxiás célzás és a neuronavigáció, alkalmazási területeik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Sztereotaxiás rendszer: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4991100" cy="2352675"/>
            <wp:effectExtent b="0" l="0" r="0" t="0"/>
            <wp:docPr id="3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Részei ( + használata ) :  fog - orr befogó ( maszkal altatásra, kábításra 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ab/>
        <w:tab/>
        <w:t xml:space="preserve">ear bar vagy cheek bar ( kétoldaról az állat fejének szimetriukus rögzítése )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ab/>
        <w:tab/>
        <w:t xml:space="preserve">manipulator : (elektrod, vagy vírus injektáló kar, micrometeres potosságal állítható)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ab/>
        <w:tab/>
        <w:t xml:space="preserve">frame: (leolvashatók a az értékek róla 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ab/>
        <w:tab/>
        <w:t xml:space="preserve">heat-pad : (altatás alatt az állatot mindig melegítjük, mert kihülhet a műtét során)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Használat, funckciói: Az alany (állat) fejének rögzítésére szolgál a rendszer, a rögzített állapotban a stabilitás végett mérhető agyi aktivitás (altatva) , vagy ültethető be elektróda. Egyéb : craniotómia , duratómia,, agyvíz lecsapolása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Sztereotaxiás koordináták: Bizonyos koponyán definiálható pontoktól számítandó. pl: Bregma , Lambda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ab/>
        <w:tab/>
      </w:r>
      <w:r w:rsidDel="00000000" w:rsidR="00000000" w:rsidRPr="00000000">
        <w:drawing>
          <wp:anchor allowOverlap="1" behindDoc="0" distB="0" distT="0" distL="0" distR="0" hidden="0" layoutInCell="0" locked="0" relativeHeight="0" simplePos="0">
            <wp:simplePos x="0" y="0"/>
            <wp:positionH relativeFrom="margin">
              <wp:posOffset>5038725</wp:posOffset>
            </wp:positionH>
            <wp:positionV relativeFrom="paragraph">
              <wp:posOffset>85725</wp:posOffset>
            </wp:positionV>
            <wp:extent cx="1347788" cy="1217093"/>
            <wp:effectExtent b="0" l="0" r="0" t="0"/>
            <wp:wrapSquare wrapText="bothSides" distB="0" distT="0" distL="0" distR="0"/>
            <wp:docPr id="1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2170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A rendszer “nem igazán” használható emberre, de állatokra inkább , mivel az agyi területek nem változnak annyit egyén és egyén között. De minden fajra (és fajtára) megvan az anatómia atlasz.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EMBEREKRE: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Neuro-navigáció: 2 fajtája : framebased és frameless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 xml:space="preserve">+frame-based : példa emberi strereotaxiás rendszeren alapúlnak : normal frame / TALAIRACH / LEKSELL : </w:t>
      </w:r>
      <w:r w:rsidDel="00000000" w:rsidR="00000000" w:rsidRPr="00000000">
        <w:drawing>
          <wp:inline distB="114300" distT="114300" distL="114300" distR="114300">
            <wp:extent cx="1738313" cy="830300"/>
            <wp:effectExtent b="0" l="0" r="0" t="0"/>
            <wp:docPr id="1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8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 ( ezzel már emberi műtéteket terveznek )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LEKSELL - gamma kés : pontos ( akár  0,5mm ) sugárzás alapú  eszköz, mellyel nagyobb járulékos szövetkárosítás nélkül végezhető el az agyi műtét. + NEM mindig IGÉNYI A KOPONYA FELTÁRÁSÁT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  <w:t xml:space="preserve">+frameless : Nem külső eszközhöz állítjuk fel a térképet. Hanem individuálisan neururális- képalkotó eszközökkel felvett mérések szolágltatják a koordinátákat. például: ultrahang, CT, MRI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ab/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A kapott adatokat, és a végcél ( műteni/ felderíteni kívánt agyterület ) eléréséhez, összetett algoritmusok, és különböző neuronavigációs szoftware-ek segítségével történnek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sz w:val="20"/>
          <w:szCs w:val="20"/>
          <w:highlight w:val="white"/>
          <w:rtl w:val="0"/>
        </w:rPr>
        <w:t xml:space="preserve">Használatuk emberben leggyakrabban : tumor eltávolítás, és feltérképezés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oo6jsaz7ldod" w:id="4"/>
      <w:bookmarkEnd w:id="4"/>
      <w:r w:rsidDel="00000000" w:rsidR="00000000" w:rsidRPr="00000000">
        <w:rPr>
          <w:rtl w:val="0"/>
        </w:rPr>
        <w:t xml:space="preserve">5. Agyi elektromos ingerlés terápiás alkalmazása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sz w:val="24"/>
          <w:szCs w:val="24"/>
          <w:highlight w:val="white"/>
          <w:rtl w:val="0"/>
        </w:rPr>
        <w:t xml:space="preserve">általában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52b37"/>
          <w:highlight w:val="whit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bifázist használnak: először alacsony, aztán magas , szöveti károsodás kicsi, négyzetes jelet könnyű generálni, gyors változás érhető el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line="360" w:lineRule="auto"/>
        <w:ind w:left="720" w:hanging="360"/>
        <w:contextualSpacing w:val="1"/>
        <w:rPr>
          <w:color w:val="252b37"/>
          <w:highlight w:val="whit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katódosat (5x kevesebb beinjektált áram ugyanahhoz a hatáshoz)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276600" cy="2590800"/>
            <wp:effectExtent b="0" l="0" r="0" t="0"/>
            <wp:docPr id="33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252b37"/>
          <w:sz w:val="24"/>
          <w:szCs w:val="24"/>
          <w:highlight w:val="white"/>
          <w:rtl w:val="0"/>
        </w:rPr>
        <w:t xml:space="preserve"> Agyi elektromos ingerlés terápiás alkalmazása → </w:t>
      </w:r>
      <w:r w:rsidDel="00000000" w:rsidR="00000000" w:rsidRPr="00000000">
        <w:rPr>
          <w:color w:val="252b37"/>
          <w:sz w:val="24"/>
          <w:szCs w:val="24"/>
          <w:highlight w:val="white"/>
          <w:u w:val="single"/>
          <w:rtl w:val="0"/>
        </w:rPr>
        <w:t xml:space="preserve">Mélyagyi ingerlés = Deep brain stimulation (DBS)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Parkinson-kór: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4 fő tünet: 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Tremor - nyugalmi remegés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Rigiditás - izmok merevsége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Bradikinézia - mozgás lassúság, mozgás elindítása nehézkes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Instabilitás - izomkoordináció zavar, egyensúly instabilitása a motoros kompenzáció hibája, nem az egyensúly szervé </w:t>
      </w:r>
    </w:p>
    <w:p w:rsidR="00000000" w:rsidDel="00000000" w:rsidP="00000000" w:rsidRDefault="00000000" w:rsidRPr="00000000">
      <w:pPr>
        <w:numPr>
          <w:ilvl w:val="0"/>
          <w:numId w:val="5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egyéb tünet: kognitív, viselkedési, alvási és érzelmi problémák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Oka: subtantia nigra törzsdúcokba vetítő dopamin tartalmú sejtjeinek halála okozza.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Kezelés: Levodopa, dopamin agonisták (gyógyszer hatása egyre gyengébb a kór előrehaladtával)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DBS célterület: STN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ingerlési paraméterek: 130-185 Hz frekv., 60-150µs impulzusszélesség, 1-2,5 V intentzitás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Eszenciális tremor:</w:t>
      </w:r>
    </w:p>
    <w:p w:rsidR="00000000" w:rsidDel="00000000" w:rsidP="00000000" w:rsidRDefault="00000000" w:rsidRPr="00000000">
      <w:pPr>
        <w:numPr>
          <w:ilvl w:val="0"/>
          <w:numId w:val="1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ritmusos (4-12 Hz) remegés az </w:t>
      </w:r>
      <w:r w:rsidDel="00000000" w:rsidR="00000000" w:rsidRPr="00000000">
        <w:rPr>
          <w:b w:val="1"/>
          <w:color w:val="252b37"/>
          <w:highlight w:val="white"/>
          <w:rtl w:val="0"/>
        </w:rPr>
        <w:t xml:space="preserve">akaratlagos mozgások</w:t>
      </w:r>
      <w:r w:rsidDel="00000000" w:rsidR="00000000" w:rsidRPr="00000000">
        <w:rPr>
          <w:color w:val="252b37"/>
          <w:highlight w:val="white"/>
          <w:rtl w:val="0"/>
        </w:rPr>
        <w:t xml:space="preserve"> közben</w:t>
      </w:r>
    </w:p>
    <w:p w:rsidR="00000000" w:rsidDel="00000000" w:rsidP="00000000" w:rsidRDefault="00000000" w:rsidRPr="00000000">
      <w:pPr>
        <w:numPr>
          <w:ilvl w:val="0"/>
          <w:numId w:val="1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leggyakrabban érintett: karok, fej, arc</w:t>
      </w:r>
    </w:p>
    <w:p w:rsidR="00000000" w:rsidDel="00000000" w:rsidP="00000000" w:rsidRDefault="00000000" w:rsidRPr="00000000">
      <w:pPr>
        <w:numPr>
          <w:ilvl w:val="0"/>
          <w:numId w:val="1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kisagy-agytörzs-talamusz- kéreg</w:t>
      </w:r>
    </w:p>
    <w:p w:rsidR="00000000" w:rsidDel="00000000" w:rsidP="00000000" w:rsidRDefault="00000000" w:rsidRPr="00000000">
      <w:pPr>
        <w:numPr>
          <w:ilvl w:val="0"/>
          <w:numId w:val="1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tüneti kezelésre mélyagyi ingerlés, nincs speciális gyógyszeres kezelés</w:t>
      </w:r>
    </w:p>
    <w:p w:rsidR="00000000" w:rsidDel="00000000" w:rsidP="00000000" w:rsidRDefault="00000000" w:rsidRPr="00000000">
      <w:pPr>
        <w:numPr>
          <w:ilvl w:val="0"/>
          <w:numId w:val="1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DBS célterület: talamusz ventralis intermedialis mag (Vim)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Disztónia: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akaratlan, folyamatos, ismétlődő, sokszor fájdalmas mozgások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másodlagos hatások: alvászavar, kimerültség, mentális stressz, koncentrációs nehézségek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ismeretlen eredetű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nincs speciális  gyógyszeres kezelés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DBS célpont: globus pallidus internus (GPi)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ingerlési paraméter: 200-400 µs impulzusszélesség, 2,2-7 V intenzitás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Tourette-szindróma:</w:t>
      </w:r>
    </w:p>
    <w:p w:rsidR="00000000" w:rsidDel="00000000" w:rsidP="00000000" w:rsidRDefault="00000000" w:rsidRPr="00000000">
      <w:pPr>
        <w:numPr>
          <w:ilvl w:val="0"/>
          <w:numId w:val="16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gyerekkorban kezdődő, öröklött betegség</w:t>
      </w:r>
    </w:p>
    <w:p w:rsidR="00000000" w:rsidDel="00000000" w:rsidP="00000000" w:rsidRDefault="00000000" w:rsidRPr="00000000">
      <w:pPr>
        <w:numPr>
          <w:ilvl w:val="0"/>
          <w:numId w:val="16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ismétlődő, erős tikkek, akaratlan hangadás, káromkodás</w:t>
      </w:r>
    </w:p>
    <w:p w:rsidR="00000000" w:rsidDel="00000000" w:rsidP="00000000" w:rsidRDefault="00000000" w:rsidRPr="00000000">
      <w:pPr>
        <w:numPr>
          <w:ilvl w:val="0"/>
          <w:numId w:val="16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nincs speciális gyógyszeres kezelés, az alkalmazottaknak sok mellékhatása van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DBS rendszer 3 komponense</w:t>
      </w:r>
      <w:r w:rsidDel="00000000" w:rsidR="00000000" w:rsidRPr="00000000">
        <w:rPr>
          <w:color w:val="252b37"/>
          <w:highlight w:val="white"/>
          <w:rtl w:val="0"/>
        </w:rPr>
        <w:t xml:space="preserve">: elektróda + összekötő kábel + ingerlő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elektróda: vékony szigetelt drót, 4 db szigeteletlen ingerlési pont - 1,5 mm nagyságú (1,27 mm átmérőjű eletróda)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összekötő kábel: bőr alatt fut, nincs seb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ingerlő: ~pacemaker, Ti, kívülről rádiófrekvenciávsan programozható</w:t>
      </w:r>
    </w:p>
    <w:p w:rsidR="00000000" w:rsidDel="00000000" w:rsidP="00000000" w:rsidRDefault="00000000" w:rsidRPr="00000000">
      <w:pPr>
        <w:spacing w:line="360" w:lineRule="auto"/>
        <w:ind w:left="0" w:firstLine="0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Jellemzői: 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újratölthető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2-250 Hz tartományon injektálva ha fix feszültséget akarsz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ha fix áramot: 3-250 Hz-es tartományon mozoghatsz</w:t>
      </w:r>
    </w:p>
    <w:p w:rsidR="00000000" w:rsidDel="00000000" w:rsidP="00000000" w:rsidRDefault="00000000" w:rsidRPr="00000000">
      <w:pPr>
        <w:numPr>
          <w:ilvl w:val="0"/>
          <w:numId w:val="14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52b37"/>
          <w:highlight w:val="white"/>
          <w:rtl w:val="0"/>
        </w:rPr>
        <w:t xml:space="preserve">referencia elektród maga a Ti tok→ monopoláris katódos ingerlés (Medtronic)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sztereotaxiát használnak a műtéthez, utána mri géppel ellenőrzik a helyét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DBS paradoxon: terápiás ingerlés hatása megegyezik a célterület roncsolásának hatásával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4 hipotézis: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Depolarizációs blokk: olyan erős dep. DBS hatására, hogy nincs lehetőség repolarizációra (AP blokk)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Célterület neuronjainak gátlása: DBS csak gátló bejövő rostokat ingerel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Szinaptikus depresszió: DBS a szinaptikus transzmissziót akadályozza meg - kiürülnek a NT-ek a vezikulákból</w:t>
      </w:r>
    </w:p>
    <w:p w:rsidR="00000000" w:rsidDel="00000000" w:rsidP="00000000" w:rsidRDefault="00000000" w:rsidRPr="00000000">
      <w:pPr>
        <w:numPr>
          <w:ilvl w:val="0"/>
          <w:numId w:val="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A patológiás hálózat aktivitás modulációja: a magas frekvenciás DBS megtöri a célterület patológiás ritmusát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+1lassú axonok antidrómos blokádja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chronaxia idő: 20-300 µs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agy: inhomogén elektromos vezető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t2yzewxbli2r" w:id="5"/>
      <w:bookmarkEnd w:id="5"/>
      <w:r w:rsidDel="00000000" w:rsidR="00000000" w:rsidRPr="00000000">
        <w:rPr>
          <w:rtl w:val="0"/>
        </w:rPr>
        <w:t xml:space="preserve">6. Transzkraniális mágneses ingerlés, transzkraniális DC ingerlés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TMS</w:t>
      </w:r>
      <w:r w:rsidDel="00000000" w:rsidR="00000000" w:rsidRPr="00000000">
        <w:rPr>
          <w:color w:val="252b37"/>
          <w:highlight w:val="white"/>
          <w:rtl w:val="0"/>
        </w:rPr>
        <w:t xml:space="preserve">: 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nem invazív depolarizációt okozó módszer, 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eletromágneses indukciót alkalmaz: eletromos áram hatására gyorsan változó mágnese tér indukál áramokat az agyban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rTMS: repetitive TMS : kis frekvencián gátló, de ált.-ben ingerlőek, befolyásoló hatás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létrehozása: rendszer előfeszítése → egyszerre kisütjük ⇒nagy mágneses térváltozás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fizikális kontakt nélküli ingerlés, áthatol a bőrön és a koponyán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2000 V, ~ 10 000 A: külső mágneses tér jellemzője ; 100-200 µs-os pulzusgenerálással</w:t>
      </w:r>
    </w:p>
    <w:p w:rsidR="00000000" w:rsidDel="00000000" w:rsidP="00000000" w:rsidRDefault="00000000" w:rsidRPr="00000000">
      <w:pPr>
        <w:numPr>
          <w:ilvl w:val="0"/>
          <w:numId w:val="9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max. 3cm-es behatolás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Nagyságrendek: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tekercs áram: ~8000 A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mágneses tér: ~2,5 T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mágneses tér változása: ~ 30kT/s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gerjesztet elektromos tér: ~ 500V/m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gerjesztett szöveti áram : ~15mA/cm</w:t>
      </w:r>
      <w:r w:rsidDel="00000000" w:rsidR="00000000" w:rsidRPr="00000000">
        <w:rPr>
          <w:color w:val="252b37"/>
          <w:highlight w:val="white"/>
          <w:vertAlign w:val="superscript"/>
          <w:rtl w:val="0"/>
        </w:rPr>
        <w:t xml:space="preserve">2</w:t>
      </w:r>
    </w:p>
    <w:p w:rsidR="00000000" w:rsidDel="00000000" w:rsidP="00000000" w:rsidRDefault="00000000" w:rsidRPr="00000000">
      <w:pPr>
        <w:numPr>
          <w:ilvl w:val="0"/>
          <w:numId w:val="10"/>
        </w:numPr>
        <w:spacing w:line="360" w:lineRule="auto"/>
        <w:ind w:left="720" w:hanging="360"/>
        <w:contextualSpacing w:val="1"/>
        <w:rPr>
          <w:color w:val="252b37"/>
          <w:highlight w:val="whit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gerjesztett töltéssűrűség: ~ 1µC/cm</w:t>
      </w:r>
      <w:r w:rsidDel="00000000" w:rsidR="00000000" w:rsidRPr="00000000">
        <w:rPr>
          <w:color w:val="252b37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Két féle ingerlő tekercs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round coil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Figure-8 / butterfly coil: fókuszált ingerlés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Másodlagos áram ellenkező irányú az elsődleges áramiránnyal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Nem a méret a lényeg!! nagyobb tekerccsel nem lehet mélyebbre jutni ;)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Mágneses stimulálás esetén minimális erőfeszítésnél is elérhető a maximális válasz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Elektromos stimulálásnál erőfeszítés nélküli esetben van olyan, hogy nem vált ki választ, illetve nagy erőfeszítésnél érhető el max válasz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Silent priod (SP) after motor evoked potential (MEP):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stroke-ot kapott betegnél a fő ingert nem tudja létrehozni, de az inger utáni silent period megmutatkozik (nincs alapzaj)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3 és 10 ms-os latenciánál az ipszilaterális oldal (ellenoldali?) aktivitást mutat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24 ms-nál az contralaterális aktivitás dominál -  10 és 24 között a két félteke párhuzamosan erős aktivitást mutat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TMS: segít vizuális felismerésnél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rTMS: blokkol egy hatást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használata: fájdalom szindróma, depresszió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i w:val="1"/>
          <w:color w:val="252b37"/>
          <w:highlight w:val="white"/>
          <w:rtl w:val="0"/>
        </w:rPr>
        <w:t xml:space="preserve">tDSC = transcranial direct current stimulation: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viszonylag nagy felületű fejbőrre helyezett elektródokon keresztül egyenáram alkalmazása.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áramerősség fokozatos növelése, csökkentése → nincs direkt hatása tartós alkalmazásnál sem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polarizáció hatása a motoros kéreg ingerelhetőségére: anodális ingerel, katodális gátol (pont fordítva, mint extracell)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6657975" cy="5510213"/>
            <wp:effectExtent b="0" l="0" r="0" t="0"/>
            <wp:docPr id="2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551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sv9fn0gwcm2o" w:id="6"/>
      <w:bookmarkEnd w:id="6"/>
      <w:r w:rsidDel="00000000" w:rsidR="00000000" w:rsidRPr="00000000">
        <w:rPr>
          <w:sz w:val="28"/>
          <w:szCs w:val="28"/>
          <w:rtl w:val="0"/>
        </w:rPr>
        <w:t xml:space="preserve">7. Eseményhez kötött potenciálok alkalmazása agy-számítógép kapcsolat létrehozására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(6.ea.)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BCI rendszereket a mozgatórensz. súlyos zavarainál alkalmazhatják: (ha lehet a megmaradó funciókat kell felhasználni)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ALS, agytörzsi agyvérzés, magas gerincvelő sérülés, pseudokoma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252b37"/>
          <w:highlight w:val="white"/>
          <w:rtl w:val="0"/>
        </w:rPr>
        <w:t xml:space="preserve">→ “Locked-in syndrome”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ALS = Amyotrophiás lateral sclerosis: motoros idegi betegség,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ivsifur14v3i" w:id="7"/>
      <w:bookmarkEnd w:id="7"/>
      <w:r w:rsidDel="00000000" w:rsidR="00000000" w:rsidRPr="00000000">
        <w:rPr>
          <w:rtl w:val="0"/>
        </w:rPr>
        <w:t xml:space="preserve">10.  A külső szőrsejtek jelentősége a cochlea működésében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A legfontosabb: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Passzív tonotópia: A membránon terjed a hullám(egy haladó hullám), a folyadék vezeti és a basilaris membrán a szélességtől függően van egy maximuma.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Aktív tonotópia: A külső szőrsejtek fél oktávval magasabbra eltolják a hullám maximumát, ami 50 dB-es erősítésnek felel meg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Hallás frekvencia tartománya 20- 20 000 Hz</w:t>
      </w:r>
    </w:p>
    <w:p w:rsidR="00000000" w:rsidDel="00000000" w:rsidP="00000000" w:rsidRDefault="00000000" w:rsidRPr="00000000">
      <w:pPr>
        <w:numPr>
          <w:ilvl w:val="0"/>
          <w:numId w:val="18"/>
        </w:numPr>
        <w:spacing w:line="360" w:lineRule="auto"/>
        <w:ind w:left="720" w:hanging="360"/>
        <w:contextualSpacing w:val="1"/>
        <w:rPr>
          <w:color w:val="252b37"/>
          <w:highlight w:val="white"/>
          <w:u w:val="none"/>
        </w:rPr>
      </w:pPr>
      <w:r w:rsidDel="00000000" w:rsidR="00000000" w:rsidRPr="00000000">
        <w:rPr>
          <w:color w:val="252b37"/>
          <w:highlight w:val="white"/>
          <w:rtl w:val="0"/>
        </w:rPr>
        <w:t xml:space="preserve">Hangnyomás (SVL): leghalkabb -&gt; közel 0dB közelében és a fájdalomküszöb-&gt;120dB (dB=deciBell a Bell tized része) ez a hallástartomány kb. 1 000 000 szoros erősítést jelent ami egy nagyon jó érzékelőnek felel meg</w:t>
        <w:br w:type="textWrapping"/>
        <w:t xml:space="preserve"> értékét a légnyomáshoz viszonyítjuk: dB=20*log(Pn) / 20uP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Ha bizonyos hangmagasságú koppanások frekvenciáját növeljük, akkor 30-40 Hz (van olyan ahol 43-86 Hz-et  ír a jegyzet) e felett már tiszta hangot hallunk és nem halljuk külön külön a koppanásokat.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Itt még érdemes lehet, beszélni a fül felépítéséről, pl:középfül, hallócsontok,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4102100"/>
            <wp:effectExtent b="0" l="0" r="0" t="0"/>
            <wp:docPr descr="hallas2.jpg" id="10" name="image32.jpg"/>
            <a:graphic>
              <a:graphicData uri="http://schemas.openxmlformats.org/drawingml/2006/picture">
                <pic:pic>
                  <pic:nvPicPr>
                    <pic:cNvPr descr="hallas2.jpg" id="0" name="image3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Corti szervnek gyakorlatilag nincs érellátása ezért a cochlea belső falán futó sűrű érhálózatból szabadulnak fel a Corti szerv működéséhez szükséges anyagok.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basilaris membránon, ami  helyezkednek a külső és belső szőrsejtek és a ganglion spirale-ban vezetődnek az impulzusok a központi idegrendszer felé.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belső fülben 15 000 szőrsejt található és 30 000 idegrost.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3 500 belső szőrsejt, amihez az idegrostok 95%-a tartozik (végződik rajtuk)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ab/>
        <w:t xml:space="preserve">12 000 külső szőrsejt 3 sorban helyezkedik el és az idegrostok 5%-a végződik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A szőrsejtek felépítése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belső és külső szőrsejteken is apró stereocilia-k találhatóak ezek érzékelik a hozzáérő kocsonyás sejtlemezt.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stereociliak a tövüknél negyed olyan vastagok mint a csúcsuknál.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4381500"/>
            <wp:effectExtent b="0" l="0" r="0" t="0"/>
            <wp:docPr descr="hallas3.jpg" id="25" name="image57.jpg"/>
            <a:graphic>
              <a:graphicData uri="http://schemas.openxmlformats.org/drawingml/2006/picture">
                <pic:pic>
                  <pic:nvPicPr>
                    <pic:cNvPr descr="hallas3.jpg" id="0" name="image5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Csillószőrök mozgása és a spontán aktivitás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stereociliak mozgásának az irányától függ, hogy a szőrsejtek depolarizálódnak vagy hiperpolarizálódnak, fontos, hogy a receptorsejben nem keletkezik akciós potenciál, csakis receptorpotenciál, aminek a nagysága erősen függ az inger nagyságától, így növelve vagy csökkentve a  spontán aktivitást.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4038600"/>
            <wp:effectExtent b="0" l="0" r="0" t="0"/>
            <wp:docPr descr="hallas4.png" id="16" name="image40.png"/>
            <a:graphic>
              <a:graphicData uri="http://schemas.openxmlformats.org/drawingml/2006/picture">
                <pic:pic>
                  <pic:nvPicPr>
                    <pic:cNvPr descr="hallas4.png" id="0" name="image4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Nyugalmi potenciál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Szőrsejtek nyugalmi potenciálja is -60 - -80 mV, viszont az Endolimpha térben magas a K+ koncentráció van. Az endolimpha +80 mv-al pozitívabb, mint az egyéb extracelluláris tér;</w:t>
        <w:br w:type="textWrapping"/>
        <w:t xml:space="preserve"> az endolimpha és az intracelluláris tér 150 mV különbség van.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b w:val="1"/>
          <w:color w:val="252b37"/>
          <w:highlight w:val="white"/>
          <w:rtl w:val="0"/>
        </w:rPr>
        <w:t xml:space="preserve">Receptor potenciál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ennek a tulajdonságaiból adódik a spontán aktivitás, mivel már nagyon minimális kitérésre ingerületbe jön gyakorlatilag már a termikus zaj kiváltja ezt a spontán aktivitást.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3638550" cy="4429125"/>
            <wp:effectExtent b="0" l="0" r="0" t="0"/>
            <wp:docPr descr="hallas5.png" id="6" name="image24.png"/>
            <a:graphic>
              <a:graphicData uri="http://schemas.openxmlformats.org/drawingml/2006/picture">
                <pic:pic>
                  <pic:nvPicPr>
                    <pic:cNvPr descr="hallas5.png" id="0" name="image2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42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17u8rae3t4o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hjn74q3wulk2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b73shqk3guq0" w:id="10"/>
      <w:bookmarkEnd w:id="10"/>
      <w:r w:rsidDel="00000000" w:rsidR="00000000" w:rsidRPr="00000000">
        <w:rPr>
          <w:rtl w:val="0"/>
        </w:rPr>
        <w:t xml:space="preserve">11.</w:t>
        <w:tab/>
        <w:t xml:space="preserve">A vezetéses hallászavarok korrekciója protézisekkel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Csontvezetéses hallásprotézis - BAHA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qqsyxobklfjd" w:id="12"/>
      <w:bookmarkEnd w:id="12"/>
      <w:r w:rsidDel="00000000" w:rsidR="00000000" w:rsidRPr="00000000">
        <w:drawing>
          <wp:inline distB="114300" distT="114300" distL="114300" distR="114300">
            <wp:extent cx="3016250" cy="1971201"/>
            <wp:effectExtent b="0" l="0" r="0" t="0"/>
            <wp:docPr id="17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971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Csavar a koponyában. Kis vibrátor erősíti a beszédhangot, és rezgeti a csavart, az pedig a koponyacsontba adja tovább.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Probléma: seb a fejen, bár a titánium gyakorlatilag hozzánő a fejhez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Nyomja a bőrt a csavar </w:t>
      </w:r>
      <w:r w:rsidDel="00000000" w:rsidR="00000000" w:rsidRPr="00000000">
        <w:rPr>
          <w:sz w:val="24"/>
          <w:szCs w:val="24"/>
          <w:rtl w:val="0"/>
        </w:rPr>
        <w:t xml:space="preserve">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10°-os döőlésben ültetik be a csavart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 már dupla mikrofon: előre néző veszi a jelet, hátulra néző veszi a zajt (OTICON MEDICAL)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both"/>
      </w:pPr>
      <w:bookmarkStart w:colFirst="0" w:colLast="0" w:name="_w5oy3lnvwv8x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VIBRANT ® SOUNDBRIDGE ® MEIHD - Med-El, Austria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center"/>
      </w:pPr>
      <w:bookmarkStart w:colFirst="0" w:colLast="0" w:name="_9qmbgtboe2gu" w:id="14"/>
      <w:bookmarkEnd w:id="14"/>
      <w:r w:rsidDel="00000000" w:rsidR="00000000" w:rsidRPr="00000000">
        <w:drawing>
          <wp:inline distB="114300" distT="114300" distL="114300" distR="114300">
            <wp:extent cx="4301963" cy="2301927"/>
            <wp:effectExtent b="0" l="0" r="0" t="0"/>
            <wp:docPr id="2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963" cy="2301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Itt már van beépített egység is. Ez tartalmaz egy mágnest, amivel a külső egység rögzíthető a fejhez. A belső egység tartalmaz továbbá egy tekercset, egy hangprocesszort (erősítőt), vezetéket a végén kis elektromágneses ingerület átvivővel (2mm), amit vagy a kengyelhez, vagy az üllő szárára erősítenek fel (titánium).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Külső egység: mikrofon, hangfeldolgozó rendszer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Probléma: nem lehet MRI-t csinálni </w:t>
      </w:r>
      <w:r w:rsidDel="00000000" w:rsidR="00000000" w:rsidRPr="00000000">
        <w:rPr>
          <w:sz w:val="24"/>
          <w:szCs w:val="24"/>
          <w:rtl w:val="0"/>
        </w:rPr>
        <w:t xml:space="preserve">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kis műtéttel el kell távolítani a mágnest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OTOLOGICS MET – ez (is) elektro-mechanikus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Részei: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q8tm1aiusgi7" w:id="15"/>
      <w:bookmarkEnd w:id="1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Mágnessel rögzített külső egység</w:t>
      </w:r>
    </w:p>
    <w:p w:rsidR="00000000" w:rsidDel="00000000" w:rsidP="00000000" w:rsidRDefault="00000000" w:rsidRPr="00000000">
      <w:pPr>
        <w:pStyle w:val="Heading1"/>
        <w:spacing w:before="0" w:line="360" w:lineRule="auto"/>
        <w:ind w:left="-30" w:firstLine="0"/>
        <w:contextualSpacing w:val="0"/>
        <w:jc w:val="both"/>
      </w:pPr>
      <w:bookmarkStart w:colFirst="0" w:colLast="0" w:name="_5xz848kc1woo" w:id="16"/>
      <w:bookmarkEnd w:id="1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Lyukat fúrnak a középfülig a csontban. Ehhez csavarokkal rögzítik a belső egységet. Ez az üllő tetejét „lökdösi”. A műtét közben az egység csavarokkal finomhangolható.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219450" cy="1771650"/>
            <wp:effectExtent b="0" l="0" r="0" t="0"/>
            <wp:docPr id="2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Azóta már létezik teljesen beépített eszköz is, ekkor a mikrofon a fejbőr alá van beültetve.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Leginkább csak az alacsony frekvenciás hangok terén tudunk javulást hozni.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ENVOY SYSTEM - Kb ugyanez, csak zárt rendszer:</w:t>
      </w:r>
    </w:p>
    <w:p w:rsidR="00000000" w:rsidDel="00000000" w:rsidP="00000000" w:rsidRDefault="00000000" w:rsidRPr="00000000">
      <w:pPr>
        <w:spacing w:line="24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582825" cy="3318131"/>
            <wp:effectExtent b="0" l="0" r="0" t="0"/>
            <wp:docPr id="29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2825" cy="3318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Vesszük a kalapács nyeléből a jelet – piezoelektromos érzékelővel elektromos jellé transzformáljuk, feldolgozzuk, majd a kengyelnek továbbítjuk a módosított jelet piezoelektromos mozgatóval.</w:t>
      </w:r>
    </w:p>
    <w:p w:rsidR="00000000" w:rsidDel="00000000" w:rsidP="00000000" w:rsidRDefault="00000000" w:rsidRPr="00000000">
      <w:pPr>
        <w:pStyle w:val="Heading1"/>
        <w:spacing w:line="360" w:lineRule="auto"/>
        <w:ind w:left="-30" w:firstLine="0"/>
        <w:contextualSpacing w:val="0"/>
        <w:jc w:val="both"/>
      </w:pPr>
      <w:bookmarkStart w:colFirst="0" w:colLast="0" w:name="_616uc0kq6tdw" w:id="17"/>
      <w:bookmarkEnd w:id="1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e) TOTALLY INTEGRATED COCHLEAR AMPLIFIER (TICA) - Japán módi: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776788" cy="2253501"/>
            <wp:effectExtent b="0" l="0" r="0" t="0"/>
            <wp:docPr id="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2253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Mikrofon a hallójáratból veszi a jelet (bőrön keresztül), feldolgozza, majd piezoelektromos mozgatóval ingerli a csontláncolat valamelyik tagját.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és e) problémái: Kivétel esetén üreg marad a csontban, pótolni kell, h a csontfolytonosság meglegyen.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both"/>
      </w:pPr>
      <w:bookmarkStart w:colFirst="0" w:colLast="0" w:name="_3gid5n4xq78t" w:id="18"/>
      <w:bookmarkEnd w:id="1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f) MED-EL BoneBridge CSONTVEZETÉSES IMPLANTÁTUM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893795" cy="2700338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3795" cy="270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Nagyon hasonló a korábbi BAHA-hoz, de itt a vibrátor a csontba van ültetve, és a csont viszi tovább a rezgést, kint csak a mikrofon és a beszédprocesszor van.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e1gdkhuk6cgi" w:id="11"/>
      <w:bookmarkEnd w:id="1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Előny: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palozg28u5lo" w:id="19"/>
      <w:bookmarkEnd w:id="19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Nincs fertőzésveszély a fülre, hisz nem érintjük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cmwm5os0bdre" w:id="20"/>
      <w:bookmarkEnd w:id="2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Könnyen beépíthető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3ex1bmcn33l6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Nagyon hatékony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r4dmaoyt88rx" w:id="22"/>
      <w:bookmarkEnd w:id="2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Esztétikailag kevésbé probléma (hajszínű külső egység)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contextualSpacing w:val="0"/>
        <w:jc w:val="both"/>
      </w:pPr>
      <w:bookmarkStart w:colFirst="0" w:colLast="0" w:name="_lskqymr1sly1" w:id="23"/>
      <w:bookmarkEnd w:id="23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Hátrány: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ygc4en52lh8k" w:id="24"/>
      <w:bookmarkEnd w:id="2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Nem teljesen beépített</w:t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hanging="360"/>
        <w:contextualSpacing w:val="0"/>
        <w:jc w:val="both"/>
      </w:pPr>
      <w:bookmarkStart w:colFirst="0" w:colLast="0" w:name="_a3u5fpxc6xfy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after="0" w:before="0" w:line="360" w:lineRule="auto"/>
        <w:ind w:left="-30" w:firstLine="0"/>
        <w:contextualSpacing w:val="0"/>
        <w:jc w:val="both"/>
      </w:pPr>
      <w:bookmarkStart w:colFirst="0" w:colLast="0" w:name="_ogvtnget09oy" w:id="26"/>
      <w:bookmarkEnd w:id="26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Főként vezetési problémák esetén alkalmazzák ezeket a módszereket. Viszont idegi hallás zavarok esetén is szóba jöhetnek akkor, ha a cochleába jutó hangintenzitás növelésével korrigálni lehet a hallást.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left"/>
      </w:pPr>
      <w:bookmarkStart w:colFirst="0" w:colLast="0" w:name="_z3inxuti5mwx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leauaejgdra7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7mw06aexk0q0" w:id="29"/>
      <w:bookmarkEnd w:id="29"/>
      <w:r w:rsidDel="00000000" w:rsidR="00000000" w:rsidRPr="00000000">
        <w:rPr>
          <w:rtl w:val="0"/>
        </w:rPr>
        <w:t xml:space="preserve">12.</w:t>
        <w:tab/>
        <w:t xml:space="preserve">A cochleáris protézis működési elve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hallócsontok sorban, kívülről befele haladva: Kalapács(közvetlenül a dobhártyához csatlakozik) - Üllő- Kengyel(az ovális ablakra érkezik a talpa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középfül funkciója az akusztikus impedancia illesztés.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dobhártya felülete ~500 mm2 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az ovális ablak felülete a dobhártya felületéhez viszonyítva: 17:1 (ez 17-szeres erősítést jelent), a csontok mozgása még 1.3szoros erősítést okoz, ez így már 22-24x erősítést jelent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25-30dB-es nyomásnövekedének felel meg.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610225" cy="3781425"/>
            <wp:effectExtent b="0" l="0" r="0" t="0"/>
            <wp:docPr descr="hallas.jpg" id="5" name="image23.jpg"/>
            <a:graphic>
              <a:graphicData uri="http://schemas.openxmlformats.org/drawingml/2006/picture">
                <pic:pic>
                  <pic:nvPicPr>
                    <pic:cNvPr descr="hallas.jpg" id="0" name="image23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dobhártya a fájdalomküszöbnél 0.1 mm-t mozok a dobhártya és a hallásküszöb(amit még hallunk) : 10^-8 mm= ~2dB(suttogás) (ebben a 10^-8mm-ben kételkednék, hiszen kb. ekkora egy hidrogén atom)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Az ovális ablakon(scala vestibuli) jut be a rezgés a cochlea-ba és a kerek ablakon (scala tympani) egyenlítődik ki a nyomás.</w:t>
      </w:r>
    </w:p>
    <w:p w:rsidR="00000000" w:rsidDel="00000000" w:rsidP="00000000" w:rsidRDefault="00000000" w:rsidRPr="00000000">
      <w:pPr>
        <w:spacing w:line="360" w:lineRule="auto"/>
        <w:contextualSpacing w:val="0"/>
      </w:pPr>
      <w:r w:rsidDel="00000000" w:rsidR="00000000" w:rsidRPr="00000000">
        <w:rPr>
          <w:color w:val="252b37"/>
          <w:highlight w:val="white"/>
          <w:rtl w:val="0"/>
        </w:rPr>
        <w:t xml:space="preserve">A csiga 2.5 kanyarulatot tesz és 32-33 mm hosszú.</w:t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kclo8ultlr7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cj2tpiu02c8m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spacing w:line="360" w:lineRule="auto"/>
        <w:contextualSpacing w:val="0"/>
        <w:jc w:val="center"/>
      </w:pPr>
      <w:bookmarkStart w:colFirst="0" w:colLast="0" w:name="_redjispngpj5" w:id="32"/>
      <w:bookmarkEnd w:id="32"/>
      <w:r w:rsidDel="00000000" w:rsidR="00000000" w:rsidRPr="00000000">
        <w:rPr>
          <w:rtl w:val="0"/>
        </w:rPr>
        <w:t xml:space="preserve">13.</w:t>
        <w:tab/>
        <w:t xml:space="preserve">A cochleáris protéziseknél alkalmazott ingerlési stratégiák</w:t>
      </w:r>
    </w:p>
    <w:p w:rsidR="00000000" w:rsidDel="00000000" w:rsidP="00000000" w:rsidRDefault="00000000" w:rsidRPr="00000000">
      <w:pPr>
        <w:pStyle w:val="Heading1"/>
        <w:keepNext w:val="1"/>
        <w:keepLines w:val="1"/>
        <w:widowControl w:val="1"/>
        <w:spacing w:after="120" w:before="400" w:line="360" w:lineRule="auto"/>
        <w:ind w:left="0" w:right="0" w:firstLine="0"/>
        <w:contextualSpacing w:val="0"/>
        <w:jc w:val="left"/>
      </w:pPr>
      <w:bookmarkStart w:colFirst="0" w:colLast="0" w:name="_e1gdkhuk6cgi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keepNext w:val="1"/>
        <w:keepLines w:val="1"/>
        <w:widowControl w:val="1"/>
        <w:spacing w:after="120" w:before="400" w:line="360" w:lineRule="auto"/>
        <w:ind w:left="0" w:right="0" w:firstLine="0"/>
        <w:contextualSpacing w:val="0"/>
        <w:jc w:val="center"/>
      </w:pPr>
      <w:bookmarkStart w:colFirst="0" w:colLast="0" w:name="_5u3i3qtzkyet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1"/>
        <w:keepLines w:val="1"/>
        <w:widowControl w:val="1"/>
        <w:spacing w:after="120" w:before="400" w:line="360" w:lineRule="auto"/>
        <w:ind w:left="0" w:right="0" w:firstLine="0"/>
        <w:contextualSpacing w:val="0"/>
        <w:jc w:val="center"/>
      </w:pPr>
      <w:bookmarkStart w:colFirst="0" w:colLast="0" w:name="_p2ffdbz176la" w:id="34"/>
      <w:bookmarkEnd w:id="34"/>
      <w:r w:rsidDel="00000000" w:rsidR="00000000" w:rsidRPr="00000000">
        <w:rPr>
          <w:rtl w:val="0"/>
        </w:rPr>
        <w:t xml:space="preserve">14. </w:t>
      </w:r>
      <w:r w:rsidDel="00000000" w:rsidR="00000000" w:rsidRPr="00000000">
        <w:rPr>
          <w:rtl w:val="0"/>
        </w:rPr>
        <w:t xml:space="preserve">Retina </w:t>
      </w:r>
      <w:r w:rsidDel="00000000" w:rsidR="00000000" w:rsidRPr="00000000">
        <w:rPr>
          <w:rtl w:val="0"/>
        </w:rPr>
        <w:t xml:space="preserve">protézis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400675" cy="331470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Epiretinális implantátum (elektród mátrix) a retina és az üvegtest közé kerül. A szubretinális implantátum pedig az érhártya és a retina közé kerül, tulajdonképp a tönkrement érzősejtek helyére.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Különbségek: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Az epiretinális implantátum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a ganglionsejtek axonjait ingerli. Ha nagyon erős az ingerlés, akkor a közbülső sejteket is átingerelheti. De ez már baj, mert ekkor már az ingerlés olyan kiterjedt lesz, hogy az rontja a hatásfokot. Nem használja fel a megmaradt retinális képességet.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Eddig minden esetben egy külső kamera felvett képét dolgozták fel és juttaták be a retinába.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6+36 betegen tesztelték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60 pixel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Result: lines, lights, visual feeling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A szubretinális implantátum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a bipoláris sejteket ingerli. Felhasználja a retina információ-feldolgozó képességét, mintha a receptor sejteket pótolná.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Fotódiódák a fény hatására áramot indukálnak, és ez az áram ingerli a bipoláris sejteket. Probléma: a beérkező fény kevés az áram indukálásához. Ezért itt is külső kamerát használnak, a jelet feldolgozzák, és azt juttatják be. VAGY (ami jobb) fotódiódák vannak, de kívülről kapnak egy kis tápfeszültséget, így elegendő áram indukálódik kis fény esetén is.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11+29 betegen tesztelték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1520 pixel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Result: lines, lights, visual feeling, more gray tone, moving-, and some daily stuffs were recognized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Példák: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Epiretinal</w:t>
      </w:r>
    </w:p>
    <w:p w:rsidR="00000000" w:rsidDel="00000000" w:rsidP="00000000" w:rsidRDefault="00000000" w:rsidRPr="00000000">
      <w:pPr>
        <w:spacing w:line="360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–Second Sight ARGUS Trials (M Humayun), USA</w:t>
      </w:r>
    </w:p>
    <w:p w:rsidR="00000000" w:rsidDel="00000000" w:rsidP="00000000" w:rsidRDefault="00000000" w:rsidRPr="00000000">
      <w:pPr>
        <w:spacing w:line="360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–The Epiret Trial (P Walter, Mokwa, Schanze), Aachen, Giessen, Germany.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744750" cy="4280991"/>
            <wp:effectExtent b="0" l="0" r="0" t="0"/>
            <wp:docPr id="28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750" cy="4280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Subretinal</w:t>
      </w:r>
    </w:p>
    <w:p w:rsidR="00000000" w:rsidDel="00000000" w:rsidP="00000000" w:rsidRDefault="00000000" w:rsidRPr="00000000">
      <w:pPr>
        <w:spacing w:line="360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 Retina Implant Pilot Study (E Zrenner), Tübingen Germany.</w:t>
      </w:r>
    </w:p>
    <w:p w:rsidR="00000000" w:rsidDel="00000000" w:rsidP="00000000" w:rsidRDefault="00000000" w:rsidRPr="00000000">
      <w:pPr>
        <w:spacing w:line="360" w:lineRule="auto"/>
        <w:ind w:left="720" w:firstLine="0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 Under registration: Boston Retina Implant (J. Rizzo) Boston, USA</w:t>
      </w:r>
    </w:p>
    <w:p w:rsidR="00000000" w:rsidDel="00000000" w:rsidP="00000000" w:rsidRDefault="00000000" w:rsidRPr="00000000">
      <w:pPr>
        <w:spacing w:line="360" w:lineRule="auto"/>
        <w:ind w:left="720" w:firstLine="0"/>
        <w:contextualSpacing w:val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 IMI-IRIS Trial – Gisbert Richard (Hamburg, Germany)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5295900" cy="3400425"/>
            <wp:effectExtent b="0" l="0" r="0" t="0"/>
            <wp:docPr id="2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 kép „mátrix” szerűen alakul ki, mert csak az elektród alatt aktiválódhatnak a bipoláris sejtek, a többi helyen fekete marad a kép.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219929" cy="2928938"/>
            <wp:effectExtent b="0" l="0" r="0" t="0"/>
            <wp:docPr id="34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9929" cy="292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 növelt bevitt feszültség javíthatja a kép minőségét, mert az erősítés elnyomja a köztes fekete területeket, de a túl nagy feszültség, vagy megváltozott fényviszonyok esetén ez már a képminőség romlásához vezet (keresztbe ingerlés).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Alternatíva: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Kérgi protézis</w:t>
      </w:r>
    </w:p>
    <w:p w:rsidR="00000000" w:rsidDel="00000000" w:rsidP="00000000" w:rsidRDefault="00000000" w:rsidRPr="00000000">
      <w:pPr>
        <w:spacing w:line="360" w:lineRule="auto"/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214938" cy="2659445"/>
            <wp:effectExtent b="0" l="0" r="0" t="0"/>
            <wp:docPr id="32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659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Nem egyszerű, mert bár a látókérgen retinakópia van, mégis szerkezeti okokból nem vetíthető le tökéletesen 1-1-ben a kéregre a vizuális jel. Kortikális magnifikáció: a fókuszban lévő objektumok nagyon élesek, de a periféria képe sokkal rosszabb felbontású.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Másrészt az agykéreg belső területeire kellene a jelet eljuttatni, ami nehezen elérhető.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Dobelle zseni volt, de 2004-be meghalt, utána leálltak a projectek. Tudományosan nem 100%-osan alátámasztottak. Most a kínaiak nyomják (nervus opticus – mandzsetta utah (különböző hosszúságú tüskék) elektród), de még túl király eredményeket nem értek el, de kísérleteznek ezerrel.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Brainport – nyelv ingerlés – főleg irányok + fényforrások (ablak)</w:t>
      </w:r>
    </w:p>
    <w:p w:rsidR="00000000" w:rsidDel="00000000" w:rsidP="00000000" w:rsidRDefault="00000000" w:rsidRPr="00000000">
      <w:pPr>
        <w:spacing w:line="360" w:lineRule="auto"/>
        <w:contextualSpacing w:val="0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Hang visszajelzés (magasság) a távolság függvényében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Unicode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5.png"/><Relationship Id="rId20" Type="http://schemas.openxmlformats.org/officeDocument/2006/relationships/image" Target="media/image64.png"/><Relationship Id="rId22" Type="http://schemas.openxmlformats.org/officeDocument/2006/relationships/image" Target="media/image37.png"/><Relationship Id="rId21" Type="http://schemas.openxmlformats.org/officeDocument/2006/relationships/image" Target="media/image46.png"/><Relationship Id="rId24" Type="http://schemas.openxmlformats.org/officeDocument/2006/relationships/image" Target="media/image58.png"/><Relationship Id="rId23" Type="http://schemas.openxmlformats.org/officeDocument/2006/relationships/image" Target="media/image6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6.png"/><Relationship Id="rId26" Type="http://schemas.openxmlformats.org/officeDocument/2006/relationships/image" Target="media/image57.jpg"/><Relationship Id="rId25" Type="http://schemas.openxmlformats.org/officeDocument/2006/relationships/image" Target="media/image32.jpg"/><Relationship Id="rId28" Type="http://schemas.openxmlformats.org/officeDocument/2006/relationships/image" Target="media/image24.png"/><Relationship Id="rId27" Type="http://schemas.openxmlformats.org/officeDocument/2006/relationships/image" Target="media/image40.png"/><Relationship Id="rId5" Type="http://schemas.openxmlformats.org/officeDocument/2006/relationships/hyperlink" Target="http://digitus.itk.ppke.hu/~cseri/edu/Diploma/ElfizII/Beszamolok/Elfiz2_tetelek.pdf" TargetMode="External"/><Relationship Id="rId6" Type="http://schemas.openxmlformats.org/officeDocument/2006/relationships/hyperlink" Target="http://digitus.itk.ppke.hu/~fegan/allamvizsga/ELFIZ_II_by_fegan.pdf" TargetMode="External"/><Relationship Id="rId29" Type="http://schemas.openxmlformats.org/officeDocument/2006/relationships/image" Target="media/image41.png"/><Relationship Id="rId7" Type="http://schemas.openxmlformats.org/officeDocument/2006/relationships/image" Target="media/image35.png"/><Relationship Id="rId8" Type="http://schemas.openxmlformats.org/officeDocument/2006/relationships/image" Target="media/image63.png"/><Relationship Id="rId31" Type="http://schemas.openxmlformats.org/officeDocument/2006/relationships/image" Target="media/image54.png"/><Relationship Id="rId30" Type="http://schemas.openxmlformats.org/officeDocument/2006/relationships/image" Target="media/image50.png"/><Relationship Id="rId11" Type="http://schemas.openxmlformats.org/officeDocument/2006/relationships/image" Target="media/image34.png"/><Relationship Id="rId33" Type="http://schemas.openxmlformats.org/officeDocument/2006/relationships/image" Target="media/image19.png"/><Relationship Id="rId10" Type="http://schemas.openxmlformats.org/officeDocument/2006/relationships/image" Target="media/image47.png"/><Relationship Id="rId32" Type="http://schemas.openxmlformats.org/officeDocument/2006/relationships/image" Target="media/image62.png"/><Relationship Id="rId13" Type="http://schemas.openxmlformats.org/officeDocument/2006/relationships/image" Target="media/image55.png"/><Relationship Id="rId35" Type="http://schemas.openxmlformats.org/officeDocument/2006/relationships/image" Target="media/image23.jpg"/><Relationship Id="rId12" Type="http://schemas.openxmlformats.org/officeDocument/2006/relationships/image" Target="media/image48.png"/><Relationship Id="rId34" Type="http://schemas.openxmlformats.org/officeDocument/2006/relationships/image" Target="media/image11.png"/><Relationship Id="rId15" Type="http://schemas.openxmlformats.org/officeDocument/2006/relationships/image" Target="media/image38.png"/><Relationship Id="rId37" Type="http://schemas.openxmlformats.org/officeDocument/2006/relationships/image" Target="media/image61.png"/><Relationship Id="rId14" Type="http://schemas.openxmlformats.org/officeDocument/2006/relationships/image" Target="media/image28.png"/><Relationship Id="rId36" Type="http://schemas.openxmlformats.org/officeDocument/2006/relationships/image" Target="media/image16.png"/><Relationship Id="rId17" Type="http://schemas.openxmlformats.org/officeDocument/2006/relationships/image" Target="media/image22.png"/><Relationship Id="rId39" Type="http://schemas.openxmlformats.org/officeDocument/2006/relationships/image" Target="media/image67.png"/><Relationship Id="rId16" Type="http://schemas.openxmlformats.org/officeDocument/2006/relationships/image" Target="media/image33.png"/><Relationship Id="rId38" Type="http://schemas.openxmlformats.org/officeDocument/2006/relationships/image" Target="media/image59.png"/><Relationship Id="rId19" Type="http://schemas.openxmlformats.org/officeDocument/2006/relationships/image" Target="media/image27.png"/><Relationship Id="rId18" Type="http://schemas.openxmlformats.org/officeDocument/2006/relationships/image" Target="media/image43.png"/></Relationships>
</file>