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62" w:rsidRPr="00973E74" w:rsidRDefault="00D37F62" w:rsidP="00973E74">
      <w:pPr>
        <w:pStyle w:val="Cm"/>
        <w:widowControl w:val="0"/>
        <w:pBdr>
          <w:bottom w:val="single" w:sz="8" w:space="4" w:color="4F81BD" w:themeColor="accent1"/>
        </w:pBdr>
        <w:spacing w:before="0" w:after="300"/>
        <w:contextualSpacing/>
        <w:jc w:val="left"/>
        <w:outlineLvl w:val="9"/>
        <w:rPr>
          <w:rFonts w:asciiTheme="majorHAnsi" w:hAnsiTheme="majorHAnsi" w:cstheme="majorBidi"/>
          <w:b w:val="0"/>
          <w:bCs w:val="0"/>
          <w:color w:val="17365D" w:themeColor="text2" w:themeShade="BF"/>
          <w:spacing w:val="-3"/>
          <w:sz w:val="52"/>
          <w:szCs w:val="52"/>
          <w:lang w:val="hu-HU"/>
        </w:rPr>
      </w:pPr>
      <w:bookmarkStart w:id="0" w:name="_GoBack"/>
      <w:bookmarkEnd w:id="0"/>
      <w:r w:rsidRPr="00973E74">
        <w:rPr>
          <w:rFonts w:asciiTheme="majorHAnsi" w:hAnsiTheme="majorHAnsi" w:cstheme="majorBidi"/>
          <w:b w:val="0"/>
          <w:bCs w:val="0"/>
          <w:color w:val="17365D" w:themeColor="text2" w:themeShade="BF"/>
          <w:spacing w:val="-3"/>
          <w:sz w:val="52"/>
          <w:szCs w:val="52"/>
          <w:lang w:val="hu-HU"/>
        </w:rPr>
        <w:t>Szaglás</w:t>
      </w:r>
    </w:p>
    <w:p w:rsidR="00F75491" w:rsidRDefault="00F75491" w:rsidP="00973E74">
      <w:pPr>
        <w:pStyle w:val="Alcm"/>
        <w:rPr>
          <w:vanish/>
          <w:lang w:val="hu-HU"/>
        </w:rPr>
      </w:pPr>
      <w:r>
        <w:rPr>
          <w:lang w:val="hu-HU"/>
        </w:rPr>
        <w:t>Környezetünk kémiai összetételének (szaganyagok) meghatározása és központi idegrendszeri kódolása</w:t>
      </w:r>
    </w:p>
    <w:p w:rsidR="00F75491" w:rsidRPr="00973E74" w:rsidRDefault="00F75491">
      <w:pPr>
        <w:jc w:val="center"/>
        <w:rPr>
          <w:rStyle w:val="Kiemels2"/>
        </w:rPr>
      </w:pPr>
      <w:proofErr w:type="spellStart"/>
      <w:r w:rsidRPr="00973E74">
        <w:rPr>
          <w:rStyle w:val="Kiemels2"/>
        </w:rPr>
        <w:t>Nusser</w:t>
      </w:r>
      <w:proofErr w:type="spellEnd"/>
      <w:r w:rsidRPr="00973E74">
        <w:rPr>
          <w:rStyle w:val="Kiemels2"/>
        </w:rPr>
        <w:t xml:space="preserve"> </w:t>
      </w:r>
      <w:proofErr w:type="spellStart"/>
      <w:r w:rsidRPr="00973E74">
        <w:rPr>
          <w:rStyle w:val="Kiemels2"/>
        </w:rPr>
        <w:t>Zoltán</w:t>
      </w:r>
      <w:proofErr w:type="spellEnd"/>
    </w:p>
    <w:p w:rsidR="00F75491" w:rsidRPr="00973E74" w:rsidRDefault="00F75491" w:rsidP="00973E74">
      <w:pPr>
        <w:pStyle w:val="Cmsor1"/>
        <w:keepLines/>
        <w:widowControl w:val="0"/>
        <w:spacing w:before="480" w:line="276" w:lineRule="auto"/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</w:pPr>
      <w:r w:rsidRPr="00973E74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 xml:space="preserve">Szaglószerv, szaglóhámsejtek és </w:t>
      </w:r>
      <w:proofErr w:type="spellStart"/>
      <w:r w:rsidRPr="00973E74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>szaglóreceptorok</w:t>
      </w:r>
      <w:proofErr w:type="spellEnd"/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>Szaglónyálkahártya: az orr nyálkahártyájának egy specializált része (emberben az orrüreg dorzális, posterior részén, kb. 5 cm</w:t>
      </w:r>
      <w:r>
        <w:rPr>
          <w:vertAlign w:val="superscript"/>
          <w:lang w:val="hu-HU"/>
        </w:rPr>
        <w:t>2</w:t>
      </w:r>
      <w:r w:rsidR="0014181E">
        <w:rPr>
          <w:lang w:val="hu-HU"/>
        </w:rPr>
        <w:t>; kutyában 150 cm</w:t>
      </w:r>
      <w:r w:rsidR="0014181E">
        <w:rPr>
          <w:vertAlign w:val="superscript"/>
          <w:lang w:val="hu-HU"/>
        </w:rPr>
        <w:t>2</w:t>
      </w:r>
      <w:r w:rsidR="0014181E">
        <w:rPr>
          <w:lang w:val="hu-HU"/>
        </w:rPr>
        <w:t>)</w:t>
      </w:r>
      <w:r>
        <w:rPr>
          <w:lang w:val="hu-HU"/>
        </w:rPr>
        <w:t>.</w:t>
      </w:r>
    </w:p>
    <w:p w:rsidR="00973E74" w:rsidRDefault="00973E74">
      <w:pPr>
        <w:rPr>
          <w:lang w:val="hu-HU"/>
        </w:rPr>
      </w:pPr>
      <w:r>
        <w:rPr>
          <w:lang w:val="hu-HU"/>
        </w:rPr>
        <w:t xml:space="preserve">Szaglónyálkahártya felépítése: </w:t>
      </w:r>
    </w:p>
    <w:p w:rsidR="00973E74" w:rsidRPr="00973E74" w:rsidRDefault="00F75491" w:rsidP="00973E74">
      <w:pPr>
        <w:pStyle w:val="Listaszerbekezds"/>
        <w:numPr>
          <w:ilvl w:val="0"/>
          <w:numId w:val="1"/>
        </w:numPr>
        <w:rPr>
          <w:lang w:val="hu-HU"/>
        </w:rPr>
      </w:pPr>
      <w:r w:rsidRPr="00973E74">
        <w:rPr>
          <w:lang w:val="hu-HU"/>
        </w:rPr>
        <w:t>sza</w:t>
      </w:r>
      <w:r w:rsidR="0014181E" w:rsidRPr="00973E74">
        <w:rPr>
          <w:lang w:val="hu-HU"/>
        </w:rPr>
        <w:t xml:space="preserve">glóhámsejtek (10-20 millió sejt emberben, ~200 </w:t>
      </w:r>
      <w:proofErr w:type="spellStart"/>
      <w:r w:rsidR="0014181E" w:rsidRPr="00973E74">
        <w:rPr>
          <w:lang w:val="hu-HU"/>
        </w:rPr>
        <w:t>millio</w:t>
      </w:r>
      <w:proofErr w:type="spellEnd"/>
      <w:r w:rsidR="0014181E" w:rsidRPr="00973E74">
        <w:rPr>
          <w:lang w:val="hu-HU"/>
        </w:rPr>
        <w:t xml:space="preserve"> kutyában,</w:t>
      </w:r>
      <w:r w:rsidR="00973E74" w:rsidRPr="00973E74">
        <w:rPr>
          <w:lang w:val="hu-HU"/>
        </w:rPr>
        <w:t xml:space="preserve"> idegsejtek),</w:t>
      </w:r>
    </w:p>
    <w:p w:rsidR="00973E74" w:rsidRPr="00973E74" w:rsidRDefault="00F75491" w:rsidP="00973E74">
      <w:pPr>
        <w:pStyle w:val="Listaszerbekezds"/>
        <w:numPr>
          <w:ilvl w:val="0"/>
          <w:numId w:val="1"/>
        </w:numPr>
        <w:rPr>
          <w:lang w:val="hu-HU"/>
        </w:rPr>
      </w:pPr>
      <w:r w:rsidRPr="00973E74">
        <w:rPr>
          <w:lang w:val="hu-HU"/>
        </w:rPr>
        <w:t xml:space="preserve">támasztósejtek </w:t>
      </w:r>
    </w:p>
    <w:p w:rsidR="00F75491" w:rsidRPr="00973E74" w:rsidRDefault="00F75491" w:rsidP="00973E74">
      <w:pPr>
        <w:pStyle w:val="Listaszerbekezds"/>
        <w:numPr>
          <w:ilvl w:val="0"/>
          <w:numId w:val="1"/>
        </w:numPr>
        <w:rPr>
          <w:lang w:val="hu-HU"/>
        </w:rPr>
      </w:pPr>
      <w:proofErr w:type="spellStart"/>
      <w:r w:rsidRPr="00973E74">
        <w:rPr>
          <w:lang w:val="hu-HU"/>
        </w:rPr>
        <w:t>bazális</w:t>
      </w:r>
      <w:proofErr w:type="spellEnd"/>
      <w:r w:rsidRPr="00973E74">
        <w:rPr>
          <w:lang w:val="hu-HU"/>
        </w:rPr>
        <w:t xml:space="preserve"> sejtek.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 xml:space="preserve">Szaglóhámsejtek egész életen át termelődnek (60 naponként) a </w:t>
      </w:r>
      <w:proofErr w:type="spellStart"/>
      <w:r>
        <w:rPr>
          <w:lang w:val="hu-HU"/>
        </w:rPr>
        <w:t>prekurzor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bazális</w:t>
      </w:r>
      <w:proofErr w:type="spellEnd"/>
      <w:r>
        <w:rPr>
          <w:lang w:val="hu-HU"/>
        </w:rPr>
        <w:t xml:space="preserve"> sejtekből.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A szaglóhámsejtek speciális </w:t>
      </w:r>
      <w:proofErr w:type="spellStart"/>
      <w:r>
        <w:rPr>
          <w:lang w:val="hu-HU"/>
        </w:rPr>
        <w:t>szaglóreceptorok</w:t>
      </w:r>
      <w:proofErr w:type="spellEnd"/>
      <w:r>
        <w:rPr>
          <w:lang w:val="hu-HU"/>
        </w:rPr>
        <w:t xml:space="preserve"> segítségével ismerik fel a különböző szaganyagokat.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szaglóreceptorok</w:t>
      </w:r>
      <w:proofErr w:type="spellEnd"/>
      <w:r>
        <w:rPr>
          <w:lang w:val="hu-HU"/>
        </w:rPr>
        <w:t xml:space="preserve"> G fehérjéhez </w:t>
      </w:r>
      <w:r w:rsidR="0014181E">
        <w:rPr>
          <w:lang w:val="hu-HU"/>
        </w:rPr>
        <w:t>(G</w:t>
      </w:r>
      <w:r w:rsidR="0014181E" w:rsidRPr="0014181E">
        <w:rPr>
          <w:vertAlign w:val="subscript"/>
          <w:lang w:val="el-GR"/>
        </w:rPr>
        <w:t>α</w:t>
      </w:r>
      <w:r w:rsidR="0014181E" w:rsidRPr="0014181E">
        <w:rPr>
          <w:vertAlign w:val="subscript"/>
          <w:lang w:val="hu-HU"/>
        </w:rPr>
        <w:t>olf</w:t>
      </w:r>
      <w:r w:rsidR="0014181E" w:rsidRPr="0014181E">
        <w:rPr>
          <w:lang w:val="hu-HU"/>
        </w:rPr>
        <w:t xml:space="preserve">) </w:t>
      </w:r>
      <w:r>
        <w:rPr>
          <w:lang w:val="hu-HU"/>
        </w:rPr>
        <w:t xml:space="preserve">kapcsolt 7 transzmembrán régióval rendelkező receptorok, melyek az adenilát ciklázt aktiválják, és így </w:t>
      </w:r>
      <w:proofErr w:type="spellStart"/>
      <w:r>
        <w:rPr>
          <w:lang w:val="hu-HU"/>
        </w:rPr>
        <w:t>citoplazmatikus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cAMP</w:t>
      </w:r>
      <w:proofErr w:type="spellEnd"/>
      <w:r>
        <w:rPr>
          <w:lang w:val="hu-HU"/>
        </w:rPr>
        <w:t xml:space="preserve"> </w:t>
      </w:r>
      <w:proofErr w:type="gramStart"/>
      <w:r>
        <w:rPr>
          <w:lang w:val="hu-HU"/>
        </w:rPr>
        <w:t>szint növekedést</w:t>
      </w:r>
      <w:proofErr w:type="gramEnd"/>
      <w:r>
        <w:rPr>
          <w:lang w:val="hu-HU"/>
        </w:rPr>
        <w:t xml:space="preserve"> okoznak.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A </w:t>
      </w:r>
      <w:proofErr w:type="spellStart"/>
      <w:r>
        <w:rPr>
          <w:lang w:val="hu-HU"/>
        </w:rPr>
        <w:t>cAMP</w:t>
      </w:r>
      <w:proofErr w:type="spellEnd"/>
      <w:r>
        <w:rPr>
          <w:lang w:val="hu-HU"/>
        </w:rPr>
        <w:t xml:space="preserve"> aktiválja a ciklikus nukleotid-kapcsolt ioncsatornákat, ami a szaglóhámsejtek depolarizációjához </w:t>
      </w:r>
      <w:r w:rsidR="001A532C">
        <w:rPr>
          <w:lang w:val="hu-HU"/>
        </w:rPr>
        <w:t xml:space="preserve">és kálcium ion beáramláshoz </w:t>
      </w:r>
      <w:r>
        <w:rPr>
          <w:lang w:val="hu-HU"/>
        </w:rPr>
        <w:t xml:space="preserve">vezet. </w:t>
      </w:r>
      <w:r w:rsidR="007927EF">
        <w:rPr>
          <w:lang w:val="hu-HU"/>
        </w:rPr>
        <w:t xml:space="preserve">A kálcium ionok </w:t>
      </w:r>
      <w:r w:rsidR="000908E5">
        <w:rPr>
          <w:lang w:val="hu-HU"/>
        </w:rPr>
        <w:t xml:space="preserve">kálcium-érzékeny </w:t>
      </w:r>
      <w:r w:rsidR="007927EF">
        <w:rPr>
          <w:lang w:val="hu-HU"/>
        </w:rPr>
        <w:t>klorid csatornákat aktíválnak</w:t>
      </w:r>
      <w:r w:rsidR="000908E5">
        <w:rPr>
          <w:lang w:val="hu-HU"/>
        </w:rPr>
        <w:t>,</w:t>
      </w:r>
      <w:r w:rsidR="007927EF">
        <w:rPr>
          <w:lang w:val="hu-HU"/>
        </w:rPr>
        <w:t xml:space="preserve"> melyeken keresztül Cl</w:t>
      </w:r>
      <w:r w:rsidR="007927EF" w:rsidRPr="000908E5">
        <w:rPr>
          <w:vertAlign w:val="superscript"/>
          <w:lang w:val="hu-HU"/>
        </w:rPr>
        <w:t>-</w:t>
      </w:r>
      <w:r w:rsidR="007927EF">
        <w:rPr>
          <w:lang w:val="hu-HU"/>
        </w:rPr>
        <w:t xml:space="preserve"> ionok áramlanak ki a sejtekből tovább fokozva a depolarizációt.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Egy szaglóhámsejt egyféle </w:t>
      </w:r>
      <w:proofErr w:type="spellStart"/>
      <w:r>
        <w:rPr>
          <w:lang w:val="hu-HU"/>
        </w:rPr>
        <w:t>szaglóreceptor</w:t>
      </w:r>
      <w:proofErr w:type="spellEnd"/>
      <w:r>
        <w:rPr>
          <w:lang w:val="hu-HU"/>
        </w:rPr>
        <w:t xml:space="preserve"> gént fejez ki, mel</w:t>
      </w:r>
      <w:r w:rsidR="001A532C">
        <w:rPr>
          <w:lang w:val="hu-HU"/>
        </w:rPr>
        <w:t xml:space="preserve">y magas </w:t>
      </w:r>
      <w:proofErr w:type="spellStart"/>
      <w:r w:rsidR="001A532C">
        <w:rPr>
          <w:lang w:val="hu-HU"/>
        </w:rPr>
        <w:t>specificitásra</w:t>
      </w:r>
      <w:proofErr w:type="spellEnd"/>
      <w:r w:rsidR="001A532C">
        <w:rPr>
          <w:lang w:val="hu-HU"/>
        </w:rPr>
        <w:t xml:space="preserve"> enged köve</w:t>
      </w:r>
      <w:r>
        <w:rPr>
          <w:lang w:val="hu-HU"/>
        </w:rPr>
        <w:t>t</w:t>
      </w:r>
      <w:r w:rsidR="001A532C">
        <w:rPr>
          <w:lang w:val="hu-HU"/>
        </w:rPr>
        <w:t>kezte</w:t>
      </w:r>
      <w:r>
        <w:rPr>
          <w:lang w:val="hu-HU"/>
        </w:rPr>
        <w:t>tni.</w:t>
      </w:r>
      <w:r w:rsidR="00973E74">
        <w:rPr>
          <w:lang w:val="hu-HU"/>
        </w:rPr>
        <w:t xml:space="preserve"> </w:t>
      </w:r>
      <w:r w:rsidR="001A532C">
        <w:rPr>
          <w:lang w:val="hu-HU"/>
        </w:rPr>
        <w:t>Az e</w:t>
      </w:r>
      <w:r>
        <w:rPr>
          <w:lang w:val="hu-HU"/>
        </w:rPr>
        <w:t>gyféle receptort kifejező szaglóhámsejtek azonos glomerulusokba (kettő db) vetítenek a szaglógumóba.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>Egy receptor számos kémiai molekulát/szaganyagot képes megkötni, és egy kémiai molekula számos receptorhoz kötődik.</w:t>
      </w:r>
      <w:r w:rsidR="00973E74">
        <w:rPr>
          <w:lang w:val="hu-HU"/>
        </w:rPr>
        <w:t xml:space="preserve"> </w:t>
      </w:r>
      <w:r>
        <w:rPr>
          <w:lang w:val="hu-HU"/>
        </w:rPr>
        <w:t>Különböző kémiai anyagok képesek a szaglóhámsejtek aktivitását növelni (serkentő) vagy csökkenteni (gátló).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Tehát a </w:t>
      </w:r>
      <w:proofErr w:type="spellStart"/>
      <w:r>
        <w:rPr>
          <w:lang w:val="hu-HU"/>
        </w:rPr>
        <w:t>szaglóreceptorok</w:t>
      </w:r>
      <w:proofErr w:type="spellEnd"/>
      <w:r>
        <w:rPr>
          <w:lang w:val="hu-HU"/>
        </w:rPr>
        <w:t>, és így a szaglóhámsejtek is alacsony specificitást mutatnak (számos szaganyag serkenti őket).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Egyes kémiai anyagok rájuk jellemző aktivitási mintázatot (térbeli és időbeli) hoznak létre a szaglógumó </w:t>
      </w:r>
      <w:proofErr w:type="spellStart"/>
      <w:r>
        <w:rPr>
          <w:lang w:val="hu-HU"/>
        </w:rPr>
        <w:t>glomerulusaiban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>Különböző kémiai anyagok egymással részben átfedő, de nem azonos mintázatokat hoznak létre.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>A szaglóhámsejtek szaganyag által kiváltott elektromos válaszaikban (akciós potenciálok száma, latenciája és frekvenciája) adaptációt mutatnak.</w:t>
      </w:r>
      <w:r w:rsidR="00973E74">
        <w:rPr>
          <w:lang w:val="hu-HU"/>
        </w:rPr>
        <w:t xml:space="preserve"> </w:t>
      </w:r>
      <w:r>
        <w:rPr>
          <w:lang w:val="hu-HU"/>
        </w:rPr>
        <w:t>Az adaptáció már a receptor áramok nagyságában is megmutatkozik.</w:t>
      </w:r>
      <w:r w:rsidR="00973E74">
        <w:rPr>
          <w:lang w:val="hu-HU"/>
        </w:rPr>
        <w:t xml:space="preserve"> </w:t>
      </w:r>
      <w:r>
        <w:rPr>
          <w:lang w:val="hu-HU"/>
        </w:rPr>
        <w:t>Egy bizonyos koncentrációjú kondicionáló inger a teszt ingerre adott válasz nagyságát csökkenti.</w:t>
      </w:r>
      <w:r w:rsidR="00973E74">
        <w:rPr>
          <w:lang w:val="hu-HU"/>
        </w:rPr>
        <w:t xml:space="preserve"> </w:t>
      </w:r>
      <w:r>
        <w:rPr>
          <w:lang w:val="hu-HU"/>
        </w:rPr>
        <w:t>Az adaptációt a dózis-hatás görbe jobbratolódásával értelmezhetjük.</w:t>
      </w:r>
      <w:r w:rsidR="00973E74">
        <w:rPr>
          <w:lang w:val="hu-HU"/>
        </w:rPr>
        <w:t xml:space="preserve"> </w:t>
      </w:r>
      <w:r>
        <w:rPr>
          <w:lang w:val="hu-HU"/>
        </w:rPr>
        <w:t>Minél magasabb a kondicionáló inger koncentrációja, annál erősebb az adaptáció (vagy a dózis-hatás görbe eltolódása).</w:t>
      </w:r>
      <w:r w:rsidR="00973E74">
        <w:rPr>
          <w:lang w:val="hu-HU"/>
        </w:rPr>
        <w:t xml:space="preserve"> 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</w:p>
    <w:p w:rsidR="00F75491" w:rsidRPr="0027175C" w:rsidRDefault="00F75491" w:rsidP="0027175C">
      <w:pPr>
        <w:pStyle w:val="Cmsor1"/>
        <w:keepLines/>
        <w:widowControl w:val="0"/>
        <w:spacing w:before="480" w:line="276" w:lineRule="auto"/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</w:pPr>
      <w:r>
        <w:br w:type="page"/>
      </w:r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lastRenderedPageBreak/>
        <w:t>A szaglógumó celluláris elemei és szinaptikus kapcsolatai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 xml:space="preserve">Szaglógumó rétegei: Szaglórostok rétege, </w:t>
      </w:r>
      <w:proofErr w:type="spellStart"/>
      <w:r>
        <w:rPr>
          <w:lang w:val="hu-HU"/>
        </w:rPr>
        <w:t>glomeruláris</w:t>
      </w:r>
      <w:proofErr w:type="spellEnd"/>
      <w:r>
        <w:rPr>
          <w:lang w:val="hu-HU"/>
        </w:rPr>
        <w:t xml:space="preserve"> réteg, </w:t>
      </w:r>
      <w:proofErr w:type="spellStart"/>
      <w:r>
        <w:rPr>
          <w:lang w:val="hu-HU"/>
        </w:rPr>
        <w:t>external</w:t>
      </w:r>
      <w:proofErr w:type="spellEnd"/>
      <w:r w:rsidR="00973E74">
        <w:rPr>
          <w:lang w:val="hu-HU"/>
        </w:rPr>
        <w:t xml:space="preserve"> </w:t>
      </w:r>
      <w:r>
        <w:rPr>
          <w:lang w:val="hu-HU"/>
        </w:rPr>
        <w:t xml:space="preserve">(külső) </w:t>
      </w:r>
      <w:proofErr w:type="spellStart"/>
      <w:r>
        <w:rPr>
          <w:lang w:val="hu-HU"/>
        </w:rPr>
        <w:t>plexiform</w:t>
      </w:r>
      <w:proofErr w:type="spellEnd"/>
      <w:r>
        <w:rPr>
          <w:lang w:val="hu-HU"/>
        </w:rPr>
        <w:t xml:space="preserve"> réteg, </w:t>
      </w:r>
      <w:proofErr w:type="spellStart"/>
      <w:r>
        <w:rPr>
          <w:lang w:val="hu-HU"/>
        </w:rPr>
        <w:t>mitrál</w:t>
      </w:r>
      <w:proofErr w:type="spellEnd"/>
      <w:r>
        <w:rPr>
          <w:lang w:val="hu-HU"/>
        </w:rPr>
        <w:t xml:space="preserve"> sejtek rétege, internal (belső) plexiform réteg, szemcsesejtek rétege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>Szaglógumó sejtjei:</w:t>
      </w:r>
      <w:r w:rsidR="00973E74">
        <w:rPr>
          <w:lang w:val="hu-HU"/>
        </w:rPr>
        <w:t xml:space="preserve"> </w:t>
      </w:r>
      <w:proofErr w:type="spellStart"/>
      <w:r>
        <w:rPr>
          <w:lang w:val="hu-HU"/>
        </w:rPr>
        <w:t>Juxtaglomeruláris</w:t>
      </w:r>
      <w:proofErr w:type="spellEnd"/>
      <w:r>
        <w:rPr>
          <w:lang w:val="hu-HU"/>
        </w:rPr>
        <w:t xml:space="preserve"> sejtek (külső ecsetsejtek és periglomeruláris sejtek), belső és középső ecsetsejtek, mitrálsejtek, szemcsesejtek és „short-axon” sejtek.</w:t>
      </w:r>
    </w:p>
    <w:p w:rsidR="00F75491" w:rsidRDefault="00F75491">
      <w:pPr>
        <w:rPr>
          <w:lang w:val="hu-HU"/>
        </w:rPr>
      </w:pPr>
    </w:p>
    <w:p w:rsidR="00F75491" w:rsidRDefault="00F75491">
      <w:pPr>
        <w:ind w:firstLine="720"/>
        <w:rPr>
          <w:lang w:val="hu-HU"/>
        </w:rPr>
      </w:pPr>
      <w:proofErr w:type="spellStart"/>
      <w:r>
        <w:rPr>
          <w:i/>
          <w:iCs/>
          <w:lang w:val="hu-HU"/>
        </w:rPr>
        <w:t>Mitrálsejtek</w:t>
      </w:r>
      <w:proofErr w:type="spellEnd"/>
      <w:r>
        <w:rPr>
          <w:lang w:val="hu-HU"/>
        </w:rPr>
        <w:t>: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A szaglógumó principális sejtjei. A gumónak serkentő </w:t>
      </w:r>
      <w:proofErr w:type="spellStart"/>
      <w:r>
        <w:rPr>
          <w:lang w:val="hu-HU"/>
        </w:rPr>
        <w:t>glutamáterg</w:t>
      </w:r>
      <w:proofErr w:type="spellEnd"/>
      <w:r>
        <w:rPr>
          <w:lang w:val="hu-HU"/>
        </w:rPr>
        <w:t xml:space="preserve"> kimenetét adják.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Sejttest: 15-30 </w:t>
      </w:r>
      <w:r>
        <w:rPr>
          <w:lang w:val="hu-HU"/>
        </w:rPr>
        <w:sym w:font="Symbol" w:char="F06D"/>
      </w:r>
      <w:r>
        <w:rPr>
          <w:lang w:val="hu-HU"/>
        </w:rPr>
        <w:t xml:space="preserve">m, egy primer dendrit egy glomerulusban ágazik el, ahol a fő serkentő bemenetet kapja szaglórost </w:t>
      </w:r>
      <w:proofErr w:type="spellStart"/>
      <w:r>
        <w:rPr>
          <w:lang w:val="hu-HU"/>
        </w:rPr>
        <w:t>axonoktól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>Számos szekunder vagy laterális dendrit: több mm kiterjedésű, reciprok/kölcsönös dendro-dendritikus szinapszis.</w:t>
      </w: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Ecsetsejtek</w:t>
      </w:r>
      <w:r>
        <w:rPr>
          <w:lang w:val="hu-HU"/>
        </w:rPr>
        <w:t>:</w:t>
      </w:r>
      <w:r w:rsidR="00973E74">
        <w:rPr>
          <w:lang w:val="hu-HU"/>
        </w:rPr>
        <w:t xml:space="preserve"> </w:t>
      </w:r>
      <w:r>
        <w:rPr>
          <w:lang w:val="hu-HU"/>
        </w:rPr>
        <w:t>Ugyancsak a szaglógumó principális sejtjei.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Serkentő </w:t>
      </w:r>
      <w:proofErr w:type="spellStart"/>
      <w:r>
        <w:rPr>
          <w:lang w:val="hu-HU"/>
        </w:rPr>
        <w:t>glutamáterg</w:t>
      </w:r>
      <w:proofErr w:type="spellEnd"/>
      <w:r>
        <w:rPr>
          <w:lang w:val="hu-HU"/>
        </w:rPr>
        <w:t xml:space="preserve"> sejtek.</w:t>
      </w:r>
      <w:r w:rsidR="00973E74">
        <w:rPr>
          <w:lang w:val="hu-HU"/>
        </w:rPr>
        <w:t xml:space="preserve"> </w:t>
      </w:r>
      <w:r>
        <w:rPr>
          <w:lang w:val="hu-HU"/>
        </w:rPr>
        <w:t>Szinaptikus kapcsolatai hasonlítanak a mitrálsejtekéhez, csak sokkal extenzívebbek/kiterjedtebbek a helyi kollaterálisai az internál/a belső plexiform rétegben.</w:t>
      </w: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Szemcsesejtek</w:t>
      </w:r>
      <w:r>
        <w:rPr>
          <w:lang w:val="hu-HU"/>
        </w:rPr>
        <w:t>:</w:t>
      </w:r>
      <w:r w:rsidR="00973E74">
        <w:rPr>
          <w:lang w:val="hu-HU"/>
        </w:rPr>
        <w:t xml:space="preserve"> </w:t>
      </w:r>
      <w:proofErr w:type="spellStart"/>
      <w:r>
        <w:rPr>
          <w:lang w:val="hu-HU"/>
        </w:rPr>
        <w:t>GABAerg</w:t>
      </w:r>
      <w:proofErr w:type="spellEnd"/>
      <w:r>
        <w:rPr>
          <w:lang w:val="hu-HU"/>
        </w:rPr>
        <w:t xml:space="preserve"> gátló </w:t>
      </w:r>
      <w:proofErr w:type="spellStart"/>
      <w:r>
        <w:rPr>
          <w:lang w:val="hu-HU"/>
        </w:rPr>
        <w:t>interneuronok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axon</w:t>
      </w:r>
      <w:proofErr w:type="spellEnd"/>
      <w:r>
        <w:rPr>
          <w:lang w:val="hu-HU"/>
        </w:rPr>
        <w:t xml:space="preserve"> nélküli sejtek! Sejttest: 6-8 </w:t>
      </w:r>
      <w:r>
        <w:rPr>
          <w:lang w:val="hu-HU"/>
        </w:rPr>
        <w:sym w:font="Symbol" w:char="F06D"/>
      </w:r>
      <w:r>
        <w:rPr>
          <w:lang w:val="hu-HU"/>
        </w:rPr>
        <w:t xml:space="preserve">m. Dendritjeik 200-400 </w:t>
      </w:r>
      <w:r>
        <w:rPr>
          <w:lang w:val="hu-HU"/>
        </w:rPr>
        <w:sym w:font="Symbol" w:char="F06D"/>
      </w:r>
      <w:r>
        <w:rPr>
          <w:lang w:val="hu-HU"/>
        </w:rPr>
        <w:t>m.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A bemenetüket a dendritjeiken kapják (főleg serkentő, a mitrálsejtektől), és a kimenetüket is a dendritekkel adják (gátló, a mitrál sejtek laterális dendritjeire). </w:t>
      </w:r>
    </w:p>
    <w:p w:rsidR="00F75491" w:rsidRDefault="00F75491">
      <w:pPr>
        <w:ind w:firstLine="720"/>
        <w:rPr>
          <w:lang w:val="hu-HU"/>
        </w:rPr>
      </w:pPr>
      <w:proofErr w:type="spellStart"/>
      <w:r>
        <w:rPr>
          <w:i/>
          <w:iCs/>
          <w:lang w:val="hu-HU"/>
        </w:rPr>
        <w:t>Periglomeruláris</w:t>
      </w:r>
      <w:proofErr w:type="spellEnd"/>
      <w:r>
        <w:rPr>
          <w:i/>
          <w:iCs/>
          <w:lang w:val="hu-HU"/>
        </w:rPr>
        <w:t xml:space="preserve"> sejtek</w:t>
      </w:r>
      <w:r>
        <w:rPr>
          <w:lang w:val="hu-HU"/>
        </w:rPr>
        <w:t xml:space="preserve">: </w:t>
      </w:r>
      <w:proofErr w:type="spellStart"/>
      <w:r>
        <w:rPr>
          <w:lang w:val="hu-HU"/>
        </w:rPr>
        <w:t>GABAerg</w:t>
      </w:r>
      <w:proofErr w:type="spellEnd"/>
      <w:r>
        <w:rPr>
          <w:lang w:val="hu-HU"/>
        </w:rPr>
        <w:t xml:space="preserve"> gátló </w:t>
      </w:r>
      <w:proofErr w:type="spellStart"/>
      <w:r>
        <w:rPr>
          <w:lang w:val="hu-HU"/>
        </w:rPr>
        <w:t>interneuronok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Egyesek </w:t>
      </w:r>
      <w:proofErr w:type="spellStart"/>
      <w:r>
        <w:rPr>
          <w:lang w:val="hu-HU"/>
        </w:rPr>
        <w:t>dopaminergek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Kis sejttest, egy darab, rövid, egy </w:t>
      </w:r>
      <w:proofErr w:type="spellStart"/>
      <w:r>
        <w:rPr>
          <w:lang w:val="hu-HU"/>
        </w:rPr>
        <w:t>glomerulusban</w:t>
      </w:r>
      <w:proofErr w:type="spellEnd"/>
      <w:r>
        <w:rPr>
          <w:lang w:val="hu-HU"/>
        </w:rPr>
        <w:t xml:space="preserve"> elágazódó primer dendrit.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Serkentő bemenet a szaglóhámsejt </w:t>
      </w:r>
      <w:proofErr w:type="spellStart"/>
      <w:r>
        <w:rPr>
          <w:lang w:val="hu-HU"/>
        </w:rPr>
        <w:t>axonoktól</w:t>
      </w:r>
      <w:proofErr w:type="spellEnd"/>
      <w:r>
        <w:rPr>
          <w:lang w:val="hu-HU"/>
        </w:rPr>
        <w:t xml:space="preserve"> és a </w:t>
      </w:r>
      <w:proofErr w:type="spellStart"/>
      <w:r>
        <w:rPr>
          <w:lang w:val="hu-HU"/>
        </w:rPr>
        <w:t>mitrál</w:t>
      </w:r>
      <w:proofErr w:type="spellEnd"/>
      <w:r>
        <w:rPr>
          <w:lang w:val="hu-HU"/>
        </w:rPr>
        <w:t>/ecsetsejt dendritektől.</w:t>
      </w:r>
      <w:r w:rsidR="00973E74">
        <w:rPr>
          <w:lang w:val="hu-HU"/>
        </w:rPr>
        <w:t xml:space="preserve"> </w:t>
      </w:r>
      <w:proofErr w:type="spellStart"/>
      <w:r>
        <w:rPr>
          <w:lang w:val="hu-HU"/>
        </w:rPr>
        <w:t>GABAerg</w:t>
      </w:r>
      <w:proofErr w:type="spellEnd"/>
      <w:r>
        <w:rPr>
          <w:lang w:val="hu-HU"/>
        </w:rPr>
        <w:t xml:space="preserve"> kimenet a </w:t>
      </w:r>
      <w:proofErr w:type="spellStart"/>
      <w:r>
        <w:rPr>
          <w:lang w:val="hu-HU"/>
        </w:rPr>
        <w:t>mitrál</w:t>
      </w:r>
      <w:proofErr w:type="spellEnd"/>
      <w:r>
        <w:rPr>
          <w:lang w:val="hu-HU"/>
        </w:rPr>
        <w:t>/ecsetsejtek dendritjeire és más periglomeruláris sejtekre.</w:t>
      </w: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„</w:t>
      </w:r>
      <w:proofErr w:type="spellStart"/>
      <w:r>
        <w:rPr>
          <w:i/>
          <w:iCs/>
          <w:lang w:val="hu-HU"/>
        </w:rPr>
        <w:t>Short</w:t>
      </w:r>
      <w:proofErr w:type="spellEnd"/>
      <w:r>
        <w:rPr>
          <w:i/>
          <w:iCs/>
          <w:lang w:val="hu-HU"/>
        </w:rPr>
        <w:t xml:space="preserve"> </w:t>
      </w:r>
      <w:proofErr w:type="spellStart"/>
      <w:r>
        <w:rPr>
          <w:i/>
          <w:iCs/>
          <w:lang w:val="hu-HU"/>
        </w:rPr>
        <w:t>axon</w:t>
      </w:r>
      <w:proofErr w:type="spellEnd"/>
      <w:r>
        <w:rPr>
          <w:i/>
          <w:iCs/>
          <w:lang w:val="hu-HU"/>
        </w:rPr>
        <w:t>” sejtek</w:t>
      </w:r>
      <w:r>
        <w:rPr>
          <w:lang w:val="hu-HU"/>
        </w:rPr>
        <w:t>:</w:t>
      </w:r>
      <w:r w:rsidR="00973E74">
        <w:rPr>
          <w:lang w:val="hu-HU"/>
        </w:rPr>
        <w:t xml:space="preserve"> </w:t>
      </w:r>
      <w:proofErr w:type="spellStart"/>
      <w:r>
        <w:rPr>
          <w:lang w:val="hu-HU"/>
        </w:rPr>
        <w:t>GABAerg</w:t>
      </w:r>
      <w:proofErr w:type="spellEnd"/>
      <w:r>
        <w:rPr>
          <w:lang w:val="hu-HU"/>
        </w:rPr>
        <w:t xml:space="preserve"> gátló </w:t>
      </w:r>
      <w:proofErr w:type="spellStart"/>
      <w:r>
        <w:rPr>
          <w:lang w:val="hu-HU"/>
        </w:rPr>
        <w:t>interneuronok</w:t>
      </w:r>
      <w:proofErr w:type="spellEnd"/>
      <w:r>
        <w:rPr>
          <w:lang w:val="hu-HU"/>
        </w:rPr>
        <w:t>; szinte minden rétegben vannak.</w:t>
      </w:r>
    </w:p>
    <w:p w:rsidR="0027175C" w:rsidRPr="0027175C" w:rsidRDefault="0027175C" w:rsidP="0027175C">
      <w:pPr>
        <w:pStyle w:val="Cmsor1"/>
        <w:keepLines/>
        <w:widowControl w:val="0"/>
        <w:spacing w:before="480" w:line="276" w:lineRule="auto"/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</w:pPr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>A szaglógumó szinaptikus kapcsolatai</w:t>
      </w:r>
    </w:p>
    <w:p w:rsidR="0027175C" w:rsidRDefault="0027175C">
      <w:pPr>
        <w:rPr>
          <w:i/>
          <w:iCs/>
          <w:lang w:val="hu-HU"/>
        </w:rPr>
      </w:pPr>
    </w:p>
    <w:p w:rsidR="00F75491" w:rsidRDefault="00F75491">
      <w:pPr>
        <w:rPr>
          <w:lang w:val="hu-HU"/>
        </w:rPr>
      </w:pPr>
      <w:r>
        <w:rPr>
          <w:i/>
          <w:iCs/>
          <w:lang w:val="hu-HU"/>
        </w:rPr>
        <w:t>Szenzoros bemenet</w:t>
      </w:r>
      <w:r>
        <w:rPr>
          <w:lang w:val="hu-HU"/>
        </w:rPr>
        <w:t xml:space="preserve">: Serkentő, </w:t>
      </w:r>
      <w:proofErr w:type="spellStart"/>
      <w:r>
        <w:rPr>
          <w:lang w:val="hu-HU"/>
        </w:rPr>
        <w:t>glutamáterg</w:t>
      </w:r>
      <w:proofErr w:type="spellEnd"/>
      <w:r>
        <w:rPr>
          <w:lang w:val="hu-HU"/>
        </w:rPr>
        <w:t xml:space="preserve"> bemenet a szaglóhámsejtektől a glomerulusokban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i/>
          <w:iCs/>
          <w:lang w:val="hu-HU"/>
        </w:rPr>
        <w:t>Centrális (centrifugális) bemenetek</w:t>
      </w:r>
      <w:r>
        <w:rPr>
          <w:lang w:val="hu-HU"/>
        </w:rPr>
        <w:t>: A szaglókéreg piramissejtjeiből (glutamáterg), anterior olfactory nucleus-ból (glutamáterg), diagonális kötegből (kolinerg), locus coeruleus-ból (</w:t>
      </w:r>
      <w:proofErr w:type="spellStart"/>
      <w:r>
        <w:rPr>
          <w:lang w:val="hu-HU"/>
        </w:rPr>
        <w:t>noradrenerg</w:t>
      </w:r>
      <w:proofErr w:type="spellEnd"/>
      <w:r>
        <w:rPr>
          <w:lang w:val="hu-HU"/>
        </w:rPr>
        <w:t xml:space="preserve">) és a </w:t>
      </w:r>
      <w:proofErr w:type="spellStart"/>
      <w:r>
        <w:rPr>
          <w:lang w:val="hu-HU"/>
        </w:rPr>
        <w:t>raphe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nucleus-ból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szerotoninerg</w:t>
      </w:r>
      <w:proofErr w:type="spellEnd"/>
      <w:r>
        <w:rPr>
          <w:lang w:val="hu-HU"/>
        </w:rPr>
        <w:t>).</w:t>
      </w:r>
      <w:r w:rsidR="00973E74">
        <w:rPr>
          <w:lang w:val="hu-HU"/>
        </w:rPr>
        <w:t xml:space="preserve"> </w:t>
      </w:r>
      <w:r>
        <w:rPr>
          <w:lang w:val="hu-HU"/>
        </w:rPr>
        <w:t>A centrifugális rostok zömmel a szemcsesejtrétegben végződnek.</w:t>
      </w:r>
    </w:p>
    <w:p w:rsidR="00F75491" w:rsidRDefault="00F75491">
      <w:pPr>
        <w:rPr>
          <w:lang w:val="hu-HU"/>
        </w:rPr>
      </w:pPr>
    </w:p>
    <w:p w:rsidR="00F75491" w:rsidRPr="00204AB5" w:rsidRDefault="00F75491">
      <w:pPr>
        <w:rPr>
          <w:sz w:val="20"/>
        </w:rPr>
      </w:pPr>
      <w:r>
        <w:rPr>
          <w:i/>
          <w:iCs/>
          <w:lang w:val="hu-HU"/>
        </w:rPr>
        <w:t>A szaglógumó kimenetei</w:t>
      </w:r>
      <w:r>
        <w:rPr>
          <w:lang w:val="hu-HU"/>
        </w:rPr>
        <w:t>:</w:t>
      </w:r>
      <w:r w:rsidR="00973E74">
        <w:rPr>
          <w:lang w:val="hu-HU"/>
        </w:rPr>
        <w:t xml:space="preserve"> </w:t>
      </w:r>
      <w:proofErr w:type="spellStart"/>
      <w:r>
        <w:rPr>
          <w:lang w:val="hu-HU"/>
        </w:rPr>
        <w:t>Mitrál-</w:t>
      </w:r>
      <w:proofErr w:type="spellEnd"/>
      <w:r>
        <w:rPr>
          <w:lang w:val="hu-HU"/>
        </w:rPr>
        <w:t xml:space="preserve"> és ecsetsejtek vetítenek a primer szaglókéregbe, anterior olfactory nucleus-ba, </w:t>
      </w:r>
      <w:r>
        <w:rPr>
          <w:sz w:val="20"/>
          <w:lang w:val="hu-HU"/>
        </w:rPr>
        <w:t xml:space="preserve">taenia tecta-ba, dorsal </w:t>
      </w:r>
      <w:r w:rsidRPr="00204AB5">
        <w:rPr>
          <w:sz w:val="20"/>
          <w:szCs w:val="20"/>
          <w:lang w:val="hu-HU"/>
        </w:rPr>
        <w:t xml:space="preserve">peduncular </w:t>
      </w:r>
      <w:r w:rsidR="00204AB5" w:rsidRPr="00204AB5">
        <w:rPr>
          <w:bCs/>
          <w:sz w:val="20"/>
          <w:szCs w:val="20"/>
          <w:lang w:val="hu-HU"/>
        </w:rPr>
        <w:t>nucleus-ba</w:t>
      </w:r>
      <w:r w:rsidRPr="00204AB5">
        <w:rPr>
          <w:sz w:val="20"/>
          <w:szCs w:val="20"/>
          <w:lang w:val="hu-HU"/>
        </w:rPr>
        <w:t>, anterior</w:t>
      </w:r>
      <w:r>
        <w:rPr>
          <w:sz w:val="20"/>
          <w:lang w:val="hu-HU"/>
        </w:rPr>
        <w:t xml:space="preserve"> cortical amygdaloid </w:t>
      </w:r>
      <w:proofErr w:type="spellStart"/>
      <w:r>
        <w:rPr>
          <w:sz w:val="20"/>
          <w:lang w:val="hu-HU"/>
        </w:rPr>
        <w:t>nucleus-ba</w:t>
      </w:r>
      <w:proofErr w:type="spellEnd"/>
      <w:r>
        <w:rPr>
          <w:sz w:val="20"/>
          <w:lang w:val="hu-HU"/>
        </w:rPr>
        <w:t xml:space="preserve"> és a </w:t>
      </w:r>
      <w:proofErr w:type="spellStart"/>
      <w:r>
        <w:rPr>
          <w:sz w:val="20"/>
          <w:lang w:val="hu-HU"/>
        </w:rPr>
        <w:t>lateral</w:t>
      </w:r>
      <w:proofErr w:type="spellEnd"/>
      <w:r>
        <w:rPr>
          <w:sz w:val="20"/>
          <w:lang w:val="hu-HU"/>
        </w:rPr>
        <w:t xml:space="preserve"> </w:t>
      </w:r>
      <w:proofErr w:type="spellStart"/>
      <w:r>
        <w:rPr>
          <w:sz w:val="20"/>
          <w:lang w:val="hu-HU"/>
        </w:rPr>
        <w:t>olfactory</w:t>
      </w:r>
      <w:proofErr w:type="spellEnd"/>
      <w:r>
        <w:rPr>
          <w:sz w:val="20"/>
          <w:lang w:val="hu-HU"/>
        </w:rPr>
        <w:t xml:space="preserve"> </w:t>
      </w:r>
      <w:proofErr w:type="spellStart"/>
      <w:r>
        <w:rPr>
          <w:sz w:val="20"/>
          <w:lang w:val="hu-HU"/>
        </w:rPr>
        <w:t>tr</w:t>
      </w:r>
      <w:r w:rsidR="00D27290">
        <w:rPr>
          <w:sz w:val="20"/>
          <w:lang w:val="hu-HU"/>
        </w:rPr>
        <w:t>a</w:t>
      </w:r>
      <w:r>
        <w:rPr>
          <w:sz w:val="20"/>
          <w:lang w:val="hu-HU"/>
        </w:rPr>
        <w:t>ct</w:t>
      </w:r>
      <w:proofErr w:type="spellEnd"/>
      <w:r>
        <w:rPr>
          <w:sz w:val="20"/>
          <w:lang w:val="hu-HU"/>
        </w:rPr>
        <w:t xml:space="preserve"> </w:t>
      </w:r>
      <w:proofErr w:type="spellStart"/>
      <w:r>
        <w:rPr>
          <w:sz w:val="20"/>
          <w:lang w:val="hu-HU"/>
        </w:rPr>
        <w:t>nucleus-ba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>A szaglókéregből az agy számos területe kap bemenetet, pl. a thalamus, limbikus rendszer, prefrontális kéreg</w:t>
      </w:r>
      <w:proofErr w:type="gramStart"/>
      <w:r>
        <w:rPr>
          <w:lang w:val="hu-HU"/>
        </w:rPr>
        <w:t>...</w:t>
      </w:r>
      <w:proofErr w:type="gramEnd"/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proofErr w:type="spellStart"/>
      <w:r>
        <w:rPr>
          <w:i/>
          <w:iCs/>
          <w:lang w:val="hu-HU"/>
        </w:rPr>
        <w:t>Intrabulbáris</w:t>
      </w:r>
      <w:proofErr w:type="spellEnd"/>
      <w:r>
        <w:rPr>
          <w:i/>
          <w:iCs/>
          <w:lang w:val="hu-HU"/>
        </w:rPr>
        <w:t xml:space="preserve"> szinaptikus kapcsolatok</w:t>
      </w:r>
      <w:r>
        <w:rPr>
          <w:lang w:val="hu-HU"/>
        </w:rPr>
        <w:t>:</w:t>
      </w:r>
      <w:r w:rsidR="00973E74">
        <w:rPr>
          <w:lang w:val="hu-HU"/>
        </w:rPr>
        <w:t xml:space="preserve"> </w:t>
      </w:r>
    </w:p>
    <w:p w:rsidR="00F75491" w:rsidRPr="004F318B" w:rsidRDefault="00F75491" w:rsidP="0027175C">
      <w:pPr>
        <w:pStyle w:val="Listaszerbekezds"/>
        <w:numPr>
          <w:ilvl w:val="0"/>
          <w:numId w:val="2"/>
        </w:numPr>
      </w:pPr>
      <w:r w:rsidRPr="0027175C">
        <w:rPr>
          <w:b/>
          <w:lang w:val="hu-HU"/>
        </w:rPr>
        <w:t>Glomerulusokban:</w:t>
      </w:r>
      <w:r w:rsidRPr="0027175C">
        <w:rPr>
          <w:lang w:val="hu-HU"/>
        </w:rPr>
        <w:t xml:space="preserve"> Primer szaglórostok axon végződései serkentő (glutamáterg) bemenetet adnak a mitrál/ecsetsejtek primer dendritjeire és a </w:t>
      </w:r>
      <w:proofErr w:type="spellStart"/>
      <w:r w:rsidRPr="0027175C">
        <w:rPr>
          <w:lang w:val="hu-HU"/>
        </w:rPr>
        <w:t>periglomeruláris</w:t>
      </w:r>
      <w:proofErr w:type="spellEnd"/>
      <w:r w:rsidRPr="0027175C">
        <w:rPr>
          <w:lang w:val="hu-HU"/>
        </w:rPr>
        <w:t xml:space="preserve"> sejtek dendritjeire.</w:t>
      </w:r>
      <w:r w:rsidR="00973E74" w:rsidRPr="0027175C">
        <w:rPr>
          <w:lang w:val="hu-HU"/>
        </w:rPr>
        <w:t xml:space="preserve"> </w:t>
      </w:r>
      <w:r w:rsidRPr="0027175C">
        <w:rPr>
          <w:lang w:val="hu-HU"/>
        </w:rPr>
        <w:t xml:space="preserve">A </w:t>
      </w:r>
      <w:proofErr w:type="spellStart"/>
      <w:r w:rsidRPr="0027175C">
        <w:rPr>
          <w:lang w:val="hu-HU"/>
        </w:rPr>
        <w:t>periglomeruláris</w:t>
      </w:r>
      <w:proofErr w:type="spellEnd"/>
      <w:r w:rsidRPr="0027175C">
        <w:rPr>
          <w:lang w:val="hu-HU"/>
        </w:rPr>
        <w:t xml:space="preserve"> sejtek gátló </w:t>
      </w:r>
      <w:proofErr w:type="spellStart"/>
      <w:r w:rsidRPr="0027175C">
        <w:rPr>
          <w:lang w:val="hu-HU"/>
        </w:rPr>
        <w:t>dendro-dendritikus</w:t>
      </w:r>
      <w:proofErr w:type="spellEnd"/>
      <w:r w:rsidRPr="0027175C">
        <w:rPr>
          <w:lang w:val="hu-HU"/>
        </w:rPr>
        <w:t xml:space="preserve"> szinapszist létesítenek a mitrál/ecsetsejtek primer dendritjeivel, és serkentő dendro-dendritikus bemenetet kapnak tőlük. A </w:t>
      </w:r>
      <w:proofErr w:type="spellStart"/>
      <w:r w:rsidRPr="0027175C">
        <w:rPr>
          <w:lang w:val="hu-HU"/>
        </w:rPr>
        <w:t>periglomeruláris</w:t>
      </w:r>
      <w:proofErr w:type="spellEnd"/>
      <w:r w:rsidRPr="0027175C">
        <w:rPr>
          <w:lang w:val="hu-HU"/>
        </w:rPr>
        <w:t xml:space="preserve"> sejtek gátló </w:t>
      </w:r>
      <w:proofErr w:type="spellStart"/>
      <w:r w:rsidRPr="0027175C">
        <w:rPr>
          <w:lang w:val="hu-HU"/>
        </w:rPr>
        <w:t>dendro-dendritikus</w:t>
      </w:r>
      <w:proofErr w:type="spellEnd"/>
      <w:r w:rsidRPr="0027175C">
        <w:rPr>
          <w:lang w:val="hu-HU"/>
        </w:rPr>
        <w:t xml:space="preserve"> szinapszist</w:t>
      </w:r>
      <w:r w:rsidR="00973E74" w:rsidRPr="0027175C">
        <w:rPr>
          <w:lang w:val="hu-HU"/>
        </w:rPr>
        <w:t xml:space="preserve"> </w:t>
      </w:r>
      <w:r w:rsidRPr="0027175C">
        <w:rPr>
          <w:lang w:val="hu-HU"/>
        </w:rPr>
        <w:t xml:space="preserve">valamint </w:t>
      </w:r>
      <w:proofErr w:type="spellStart"/>
      <w:r w:rsidRPr="0027175C">
        <w:rPr>
          <w:lang w:val="hu-HU"/>
        </w:rPr>
        <w:t>axo-dendritikus</w:t>
      </w:r>
      <w:proofErr w:type="spellEnd"/>
      <w:r w:rsidRPr="0027175C">
        <w:rPr>
          <w:lang w:val="hu-HU"/>
        </w:rPr>
        <w:t xml:space="preserve"> szinapszist is adnak egymás dendritjeire.</w:t>
      </w:r>
      <w:r w:rsidR="004F318B" w:rsidRPr="004F318B">
        <w:t xml:space="preserve"> </w:t>
      </w:r>
      <w:proofErr w:type="spellStart"/>
      <w:proofErr w:type="gramStart"/>
      <w:r w:rsidR="004F318B">
        <w:t>Az</w:t>
      </w:r>
      <w:proofErr w:type="spellEnd"/>
      <w:proofErr w:type="gramEnd"/>
      <w:r w:rsidR="004F318B">
        <w:t xml:space="preserve"> </w:t>
      </w:r>
      <w:proofErr w:type="spellStart"/>
      <w:r w:rsidR="004F318B">
        <w:t>azonos</w:t>
      </w:r>
      <w:proofErr w:type="spellEnd"/>
      <w:r w:rsidR="004F318B">
        <w:t xml:space="preserve"> </w:t>
      </w:r>
      <w:proofErr w:type="spellStart"/>
      <w:r w:rsidR="004F318B">
        <w:t>glomerulusba</w:t>
      </w:r>
      <w:proofErr w:type="spellEnd"/>
      <w:r w:rsidR="004F318B">
        <w:t xml:space="preserve"> </w:t>
      </w:r>
      <w:proofErr w:type="spellStart"/>
      <w:r w:rsidR="004F318B">
        <w:t>vetítő</w:t>
      </w:r>
      <w:proofErr w:type="spellEnd"/>
      <w:r w:rsidR="004F318B">
        <w:t xml:space="preserve"> </w:t>
      </w:r>
      <w:proofErr w:type="spellStart"/>
      <w:r w:rsidR="004F318B">
        <w:t>mitrális</w:t>
      </w:r>
      <w:proofErr w:type="spellEnd"/>
      <w:r w:rsidR="004F318B">
        <w:t xml:space="preserve"> </w:t>
      </w:r>
      <w:proofErr w:type="spellStart"/>
      <w:r w:rsidR="004F318B">
        <w:t>sejtek</w:t>
      </w:r>
      <w:proofErr w:type="spellEnd"/>
      <w:r w:rsidR="004F318B">
        <w:t xml:space="preserve"> </w:t>
      </w:r>
      <w:proofErr w:type="spellStart"/>
      <w:r w:rsidR="004F318B">
        <w:t>szinkronizált</w:t>
      </w:r>
      <w:proofErr w:type="spellEnd"/>
      <w:r w:rsidR="004F318B">
        <w:t xml:space="preserve"> </w:t>
      </w:r>
      <w:proofErr w:type="spellStart"/>
      <w:r w:rsidR="004F318B">
        <w:t>aktivitásáért</w:t>
      </w:r>
      <w:proofErr w:type="spellEnd"/>
      <w:r w:rsidR="004F318B">
        <w:t xml:space="preserve"> </w:t>
      </w:r>
      <w:proofErr w:type="spellStart"/>
      <w:r w:rsidR="004F318B">
        <w:t>dendritikus</w:t>
      </w:r>
      <w:proofErr w:type="spellEnd"/>
      <w:r w:rsidR="004F318B">
        <w:t xml:space="preserve"> </w:t>
      </w:r>
      <w:proofErr w:type="spellStart"/>
      <w:r w:rsidR="004F318B">
        <w:t>elektromos</w:t>
      </w:r>
      <w:proofErr w:type="spellEnd"/>
      <w:r w:rsidR="004F318B">
        <w:t xml:space="preserve"> </w:t>
      </w:r>
      <w:proofErr w:type="spellStart"/>
      <w:r w:rsidR="004F318B">
        <w:t>szinapszisok</w:t>
      </w:r>
      <w:proofErr w:type="spellEnd"/>
      <w:r w:rsidR="004F318B" w:rsidRPr="008B729E">
        <w:t xml:space="preserve"> </w:t>
      </w:r>
      <w:proofErr w:type="spellStart"/>
      <w:r w:rsidR="004F318B">
        <w:t>felelősek</w:t>
      </w:r>
      <w:proofErr w:type="spellEnd"/>
      <w:r w:rsidR="004F318B">
        <w:t>.</w:t>
      </w:r>
    </w:p>
    <w:p w:rsidR="00F75491" w:rsidRPr="0027175C" w:rsidRDefault="00F75491" w:rsidP="0027175C">
      <w:pPr>
        <w:pStyle w:val="Listaszerbekezds"/>
        <w:numPr>
          <w:ilvl w:val="0"/>
          <w:numId w:val="2"/>
        </w:numPr>
        <w:rPr>
          <w:lang w:val="hu-HU"/>
        </w:rPr>
      </w:pPr>
      <w:proofErr w:type="spellStart"/>
      <w:r w:rsidRPr="0027175C">
        <w:rPr>
          <w:b/>
          <w:lang w:val="hu-HU"/>
        </w:rPr>
        <w:t>External</w:t>
      </w:r>
      <w:proofErr w:type="spellEnd"/>
      <w:r w:rsidRPr="0027175C">
        <w:rPr>
          <w:b/>
          <w:lang w:val="hu-HU"/>
        </w:rPr>
        <w:t xml:space="preserve"> </w:t>
      </w:r>
      <w:proofErr w:type="spellStart"/>
      <w:r w:rsidRPr="0027175C">
        <w:rPr>
          <w:b/>
          <w:lang w:val="hu-HU"/>
        </w:rPr>
        <w:t>plexiform</w:t>
      </w:r>
      <w:proofErr w:type="spellEnd"/>
      <w:r w:rsidRPr="0027175C">
        <w:rPr>
          <w:b/>
          <w:lang w:val="hu-HU"/>
        </w:rPr>
        <w:t xml:space="preserve"> réteg</w:t>
      </w:r>
      <w:r w:rsidRPr="0027175C">
        <w:rPr>
          <w:lang w:val="hu-HU"/>
        </w:rPr>
        <w:t>:</w:t>
      </w:r>
      <w:r w:rsidR="00973E74" w:rsidRPr="0027175C">
        <w:rPr>
          <w:lang w:val="hu-HU"/>
        </w:rPr>
        <w:t xml:space="preserve"> </w:t>
      </w:r>
      <w:r w:rsidRPr="0027175C">
        <w:rPr>
          <w:lang w:val="hu-HU"/>
        </w:rPr>
        <w:t xml:space="preserve">A </w:t>
      </w:r>
      <w:proofErr w:type="spellStart"/>
      <w:r w:rsidRPr="0027175C">
        <w:rPr>
          <w:lang w:val="hu-HU"/>
        </w:rPr>
        <w:t>mitrál</w:t>
      </w:r>
      <w:proofErr w:type="spellEnd"/>
      <w:r w:rsidRPr="0027175C">
        <w:rPr>
          <w:lang w:val="hu-HU"/>
        </w:rPr>
        <w:t>/ecsetsejtek laterális (másodlagos, szekunder) dendritjei dendro-dendritikus reciprokális szinapszist létesítenek a szemcsesejtek dendritjeivel.</w:t>
      </w:r>
      <w:r w:rsidR="00973E74" w:rsidRPr="0027175C">
        <w:rPr>
          <w:lang w:val="hu-HU"/>
        </w:rPr>
        <w:t xml:space="preserve"> </w:t>
      </w:r>
      <w:r w:rsidRPr="0027175C">
        <w:rPr>
          <w:lang w:val="hu-HU"/>
        </w:rPr>
        <w:t xml:space="preserve">A </w:t>
      </w:r>
      <w:proofErr w:type="spellStart"/>
      <w:r w:rsidRPr="0027175C">
        <w:rPr>
          <w:lang w:val="hu-HU"/>
        </w:rPr>
        <w:lastRenderedPageBreak/>
        <w:t>mitrál</w:t>
      </w:r>
      <w:proofErr w:type="spellEnd"/>
      <w:r w:rsidRPr="0027175C">
        <w:rPr>
          <w:lang w:val="hu-HU"/>
        </w:rPr>
        <w:t xml:space="preserve">/ecsetsejtek serkentő, </w:t>
      </w:r>
      <w:proofErr w:type="spellStart"/>
      <w:r w:rsidRPr="0027175C">
        <w:rPr>
          <w:lang w:val="hu-HU"/>
        </w:rPr>
        <w:t>glutamáterg</w:t>
      </w:r>
      <w:proofErr w:type="spellEnd"/>
      <w:r w:rsidRPr="0027175C">
        <w:rPr>
          <w:lang w:val="hu-HU"/>
        </w:rPr>
        <w:t xml:space="preserve"> szinapszist adnak a szemcsesejtek dendritjeire, és gátló, GABAerg szinapszist kapnak tőlük. </w:t>
      </w:r>
    </w:p>
    <w:p w:rsidR="00F75491" w:rsidRPr="0027175C" w:rsidRDefault="00F75491" w:rsidP="0027175C">
      <w:pPr>
        <w:pStyle w:val="Listaszerbekezds"/>
        <w:numPr>
          <w:ilvl w:val="0"/>
          <w:numId w:val="2"/>
        </w:numPr>
        <w:rPr>
          <w:lang w:val="hu-HU"/>
        </w:rPr>
      </w:pPr>
      <w:proofErr w:type="spellStart"/>
      <w:r w:rsidRPr="0027175C">
        <w:rPr>
          <w:b/>
          <w:lang w:val="hu-HU"/>
        </w:rPr>
        <w:t>Internal</w:t>
      </w:r>
      <w:proofErr w:type="spellEnd"/>
      <w:r w:rsidRPr="0027175C">
        <w:rPr>
          <w:b/>
          <w:lang w:val="hu-HU"/>
        </w:rPr>
        <w:t xml:space="preserve"> </w:t>
      </w:r>
      <w:proofErr w:type="spellStart"/>
      <w:r w:rsidRPr="0027175C">
        <w:rPr>
          <w:b/>
          <w:lang w:val="hu-HU"/>
        </w:rPr>
        <w:t>plexiform</w:t>
      </w:r>
      <w:proofErr w:type="spellEnd"/>
      <w:r w:rsidRPr="0027175C">
        <w:rPr>
          <w:b/>
          <w:lang w:val="hu-HU"/>
        </w:rPr>
        <w:t xml:space="preserve"> réteg</w:t>
      </w:r>
      <w:r w:rsidRPr="0027175C">
        <w:rPr>
          <w:lang w:val="hu-HU"/>
        </w:rPr>
        <w:t>:</w:t>
      </w:r>
      <w:r w:rsidR="00973E74" w:rsidRPr="0027175C">
        <w:rPr>
          <w:lang w:val="hu-HU"/>
        </w:rPr>
        <w:t xml:space="preserve"> </w:t>
      </w:r>
      <w:r w:rsidRPr="0027175C">
        <w:rPr>
          <w:lang w:val="hu-HU"/>
        </w:rPr>
        <w:t xml:space="preserve">A </w:t>
      </w:r>
      <w:proofErr w:type="spellStart"/>
      <w:r w:rsidRPr="0027175C">
        <w:rPr>
          <w:lang w:val="hu-HU"/>
        </w:rPr>
        <w:t>mitrál</w:t>
      </w:r>
      <w:proofErr w:type="spellEnd"/>
      <w:r w:rsidRPr="0027175C">
        <w:rPr>
          <w:lang w:val="hu-HU"/>
        </w:rPr>
        <w:t xml:space="preserve">/ecsetsejtek lokális </w:t>
      </w:r>
      <w:proofErr w:type="spellStart"/>
      <w:r w:rsidRPr="0027175C">
        <w:rPr>
          <w:lang w:val="hu-HU"/>
        </w:rPr>
        <w:t>kollaterálisai</w:t>
      </w:r>
      <w:proofErr w:type="spellEnd"/>
      <w:r w:rsidRPr="0027175C">
        <w:rPr>
          <w:lang w:val="hu-HU"/>
        </w:rPr>
        <w:t xml:space="preserve"> serkentő axo-dendritikus szinapszist adnak a szemcsesejtek dendritjeire.</w:t>
      </w:r>
    </w:p>
    <w:p w:rsidR="00F75491" w:rsidRPr="0027175C" w:rsidRDefault="00F75491" w:rsidP="0027175C">
      <w:pPr>
        <w:pStyle w:val="Cmsor1"/>
        <w:keepLines/>
        <w:widowControl w:val="0"/>
        <w:spacing w:before="480" w:line="276" w:lineRule="auto"/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</w:pPr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 xml:space="preserve">Hálózati jelenségek (ritmikus jelenségek, oszcillációk) és </w:t>
      </w:r>
      <w:proofErr w:type="gramStart"/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>információ kódolás</w:t>
      </w:r>
      <w:proofErr w:type="gramEnd"/>
    </w:p>
    <w:p w:rsidR="00F75491" w:rsidRDefault="00F75491">
      <w:pPr>
        <w:rPr>
          <w:lang w:val="hu-HU"/>
        </w:rPr>
      </w:pPr>
    </w:p>
    <w:p w:rsidR="00F75491" w:rsidRDefault="00F75491">
      <w:pPr>
        <w:ind w:firstLine="720"/>
        <w:rPr>
          <w:lang w:val="hu-HU"/>
        </w:rPr>
      </w:pPr>
      <w:r>
        <w:rPr>
          <w:lang w:val="hu-HU"/>
        </w:rPr>
        <w:t>Az agyban először a szaglógumóban írtak le ritmikus aktivitást (Adrian 1942).</w:t>
      </w:r>
      <w:r w:rsidR="00973E74">
        <w:rPr>
          <w:lang w:val="hu-HU"/>
        </w:rPr>
        <w:t xml:space="preserve"> </w:t>
      </w:r>
      <w:r>
        <w:rPr>
          <w:lang w:val="hu-HU"/>
        </w:rPr>
        <w:t>Ez jól detektálható a koponyáról elvezetett EEG-n valamint a szaglógumó felszínéről vagy mélyéből elvezetett mezőpotenciálokon is.</w:t>
      </w:r>
      <w:r w:rsidR="00973E74">
        <w:rPr>
          <w:lang w:val="hu-HU"/>
        </w:rPr>
        <w:t xml:space="preserve"> </w:t>
      </w:r>
    </w:p>
    <w:p w:rsidR="00F75491" w:rsidRDefault="00F75491">
      <w:pPr>
        <w:ind w:firstLine="720"/>
        <w:rPr>
          <w:lang w:val="hu-HU"/>
        </w:rPr>
      </w:pPr>
      <w:r>
        <w:rPr>
          <w:lang w:val="hu-HU"/>
        </w:rPr>
        <w:t>Szinaptikus és feszültség-függő áramok tér és időbeni változásának összessége adja egy bizonyos helyen a mezőpotenciált.</w:t>
      </w:r>
      <w:r w:rsidR="00973E74">
        <w:rPr>
          <w:lang w:val="hu-HU"/>
        </w:rPr>
        <w:t xml:space="preserve"> </w:t>
      </w:r>
      <w:r>
        <w:rPr>
          <w:lang w:val="hu-HU"/>
        </w:rPr>
        <w:t>Ennek megfelelően, a mezőpotenciál mindig egy sejt- vagy afferens-</w:t>
      </w:r>
      <w:r>
        <w:rPr>
          <w:b/>
          <w:bCs/>
          <w:lang w:val="hu-HU"/>
        </w:rPr>
        <w:t>populáció</w:t>
      </w:r>
      <w:r>
        <w:rPr>
          <w:lang w:val="hu-HU"/>
        </w:rPr>
        <w:t xml:space="preserve"> aktivitásának következménye.</w:t>
      </w:r>
    </w:p>
    <w:p w:rsidR="00F75491" w:rsidRDefault="00F75491">
      <w:pPr>
        <w:ind w:firstLine="720"/>
        <w:rPr>
          <w:lang w:val="hu-HU"/>
        </w:rPr>
      </w:pPr>
      <w:r>
        <w:rPr>
          <w:lang w:val="hu-HU"/>
        </w:rPr>
        <w:t>Mezőpotenciál ritmikus változását oszcillációnak nevezzük.</w:t>
      </w:r>
      <w:r w:rsidR="00973E74">
        <w:rPr>
          <w:lang w:val="hu-HU"/>
        </w:rPr>
        <w:t xml:space="preserve"> </w:t>
      </w:r>
      <w:r>
        <w:rPr>
          <w:lang w:val="hu-HU"/>
        </w:rPr>
        <w:t>Mezőpotenciál oszcilláció kialakulásának feltétele, hogy bizonyos sejtcsoport aktivitása periodikus és egymással szinkron/összehangolt legyen.</w:t>
      </w:r>
    </w:p>
    <w:p w:rsidR="00F75491" w:rsidRDefault="00F75491">
      <w:pPr>
        <w:ind w:firstLine="720"/>
        <w:rPr>
          <w:lang w:val="hu-HU"/>
        </w:rPr>
      </w:pPr>
      <w:r>
        <w:rPr>
          <w:lang w:val="hu-HU"/>
        </w:rPr>
        <w:t>Különböző frekvenciájú (&lt;0.2 Hz: lassú, 2-8 Hz: theta, 30-80 Hz: gamma) oszcillációk láthatóak az EEG-n stimulus (szaginger) hiányában és jelenlétében is.</w:t>
      </w:r>
      <w:r w:rsidR="00973E74">
        <w:rPr>
          <w:lang w:val="hu-HU"/>
        </w:rPr>
        <w:t xml:space="preserve"> </w:t>
      </w:r>
    </w:p>
    <w:p w:rsidR="00F75491" w:rsidRDefault="00F75491">
      <w:pPr>
        <w:rPr>
          <w:lang w:val="hu-HU"/>
        </w:rPr>
      </w:pPr>
      <w:r>
        <w:rPr>
          <w:lang w:val="hu-HU"/>
        </w:rPr>
        <w:t xml:space="preserve">A mezőpotenciál oszcilláció önmagában </w:t>
      </w:r>
      <w:r>
        <w:rPr>
          <w:i/>
          <w:iCs/>
          <w:lang w:val="hu-HU"/>
        </w:rPr>
        <w:t>semmiféle információt nem hordoz</w:t>
      </w:r>
      <w:r>
        <w:rPr>
          <w:lang w:val="hu-HU"/>
        </w:rPr>
        <w:t>, csak azt jelzi, hogy egy bizonyos agyterületen a sejtek egy populációja szinkron és periodikus aktivitást mutat.</w:t>
      </w:r>
      <w:r w:rsidR="00973E74">
        <w:rPr>
          <w:lang w:val="hu-HU"/>
        </w:rPr>
        <w:t xml:space="preserve"> </w:t>
      </w:r>
      <w:r>
        <w:rPr>
          <w:lang w:val="hu-HU"/>
        </w:rPr>
        <w:t>Azonban egy külső vizsgáló, mint egy órát (</w:t>
      </w:r>
      <w:r w:rsidR="00C24DBC">
        <w:rPr>
          <w:lang w:val="hu-HU"/>
        </w:rPr>
        <w:t xml:space="preserve">időbeni </w:t>
      </w:r>
      <w:r>
        <w:rPr>
          <w:lang w:val="hu-HU"/>
        </w:rPr>
        <w:t>referencia váz) használhatja ahhoz, hogy</w:t>
      </w:r>
      <w:r w:rsidR="00C15689">
        <w:rPr>
          <w:lang w:val="hu-HU"/>
        </w:rPr>
        <w:t xml:space="preserve"> egy sejt aktivitásának időbeniségét </w:t>
      </w:r>
      <w:r>
        <w:rPr>
          <w:lang w:val="hu-HU"/>
        </w:rPr>
        <w:t>a többi sejt (populáció) aktivitásához viszonyítsa.</w:t>
      </w:r>
    </w:p>
    <w:p w:rsidR="00F75491" w:rsidRPr="0027175C" w:rsidRDefault="00F75491" w:rsidP="0027175C">
      <w:pPr>
        <w:pStyle w:val="Cmsor1"/>
        <w:keepLines/>
        <w:widowControl w:val="0"/>
        <w:spacing w:before="480" w:line="276" w:lineRule="auto"/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</w:pPr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 xml:space="preserve">Agy térkép illetve agyi </w:t>
      </w:r>
      <w:proofErr w:type="gramStart"/>
      <w:r w:rsidRPr="0027175C">
        <w:rPr>
          <w:rFonts w:asciiTheme="majorHAnsi" w:hAnsiTheme="majorHAnsi" w:cstheme="majorBidi"/>
          <w:color w:val="365F91" w:themeColor="accent1" w:themeShade="BF"/>
          <w:spacing w:val="-2"/>
          <w:sz w:val="28"/>
          <w:szCs w:val="28"/>
        </w:rPr>
        <w:t>információ kódolás</w:t>
      </w:r>
      <w:proofErr w:type="gramEnd"/>
    </w:p>
    <w:p w:rsidR="00F75491" w:rsidRDefault="00F75491">
      <w:pPr>
        <w:rPr>
          <w:lang w:val="hu-HU"/>
        </w:rPr>
      </w:pP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Agytérkép</w:t>
      </w:r>
      <w:r>
        <w:rPr>
          <w:lang w:val="hu-HU"/>
        </w:rPr>
        <w:t>: az idegrendszer egy része, ahol az idegsejtek elrendeződése valamilyen arányban van a környezet valamilyen (fiziko-kémiai) paraméterével (pl. szaglógumó).</w:t>
      </w:r>
      <w:r w:rsidR="00973E74">
        <w:rPr>
          <w:lang w:val="hu-HU"/>
        </w:rPr>
        <w:t xml:space="preserve"> </w:t>
      </w: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Topográfikus agytérkép</w:t>
      </w:r>
      <w:r>
        <w:rPr>
          <w:lang w:val="hu-HU"/>
        </w:rPr>
        <w:t>: olyan agytérkép, ahol az idegsejtek fizikai elhelyezkedése reprezentálja (jellemzi) a környezet egy bizonyos paraméterének szomszédsági viszonyait (pl. retina).</w:t>
      </w:r>
    </w:p>
    <w:p w:rsidR="00F75491" w:rsidRDefault="00F75491">
      <w:pPr>
        <w:ind w:firstLine="720"/>
        <w:rPr>
          <w:lang w:val="hu-HU"/>
        </w:rPr>
      </w:pPr>
      <w:r>
        <w:rPr>
          <w:i/>
          <w:iCs/>
          <w:lang w:val="hu-HU"/>
        </w:rPr>
        <w:t>Kód</w:t>
      </w:r>
      <w:r>
        <w:rPr>
          <w:lang w:val="hu-HU"/>
        </w:rPr>
        <w:t>: jelek vagy szimbólumok rendszere, melyek segítségével valamilyen információ továbbítható és eredeti alakjába visszanyerhető.</w:t>
      </w:r>
    </w:p>
    <w:p w:rsidR="00F75491" w:rsidRDefault="00F75491">
      <w:pPr>
        <w:ind w:firstLine="720"/>
        <w:rPr>
          <w:lang w:val="hu-HU"/>
        </w:rPr>
      </w:pPr>
      <w:r>
        <w:rPr>
          <w:lang w:val="hu-HU"/>
        </w:rPr>
        <w:t>Ha az agytérkép része a neuronális kódnak, az azt jelenti, hogy az információ kódolása és dekódolása szükségszerűen figyelembe veszi az idegsejtek térbeli pozícióját.</w:t>
      </w:r>
      <w:r w:rsidR="00973E74">
        <w:rPr>
          <w:lang w:val="hu-HU"/>
        </w:rPr>
        <w:t xml:space="preserve"> </w:t>
      </w:r>
      <w:r>
        <w:rPr>
          <w:lang w:val="hu-HU"/>
        </w:rPr>
        <w:t>Abban az esetben, ha az idegsejtek azonossága számít, és nem szükségszerűen a pozíciójuk, akkor „identity” vagy azonosság kódolásról beszélünk.</w:t>
      </w:r>
      <w:r w:rsidR="00973E74">
        <w:rPr>
          <w:lang w:val="hu-HU"/>
        </w:rPr>
        <w:t xml:space="preserve"> </w:t>
      </w:r>
      <w:r>
        <w:rPr>
          <w:lang w:val="hu-HU"/>
        </w:rPr>
        <w:t>(Amikor a fizikai elrendeződés része a kódnak: genetikai kód, DNS.</w:t>
      </w:r>
      <w:r w:rsidR="00973E74">
        <w:rPr>
          <w:lang w:val="hu-HU"/>
        </w:rPr>
        <w:t xml:space="preserve"> </w:t>
      </w:r>
      <w:r>
        <w:rPr>
          <w:lang w:val="hu-HU"/>
        </w:rPr>
        <w:t>Amikor a fizikai elrendeződés biztosan nem része a kódnak: állatok helyének kódolása hippokampális tér-sejtekkel.)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 xml:space="preserve">Egy szaginger egy </w:t>
      </w:r>
      <w:proofErr w:type="gramStart"/>
      <w:r>
        <w:rPr>
          <w:lang w:val="hu-HU"/>
        </w:rPr>
        <w:t>sejtben időben</w:t>
      </w:r>
      <w:proofErr w:type="gramEnd"/>
      <w:r>
        <w:rPr>
          <w:lang w:val="hu-HU"/>
        </w:rPr>
        <w:t xml:space="preserve"> változó, komplex, stimulus- és sejt-specifikus választ vált ki.</w:t>
      </w:r>
      <w:r w:rsidR="00973E74">
        <w:rPr>
          <w:lang w:val="hu-HU"/>
        </w:rPr>
        <w:t xml:space="preserve"> </w:t>
      </w:r>
      <w:r>
        <w:rPr>
          <w:lang w:val="hu-HU"/>
        </w:rPr>
        <w:t>Ez a mintázat próbáról próbára hasonló.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Más </w:t>
      </w:r>
      <w:proofErr w:type="spellStart"/>
      <w:r>
        <w:rPr>
          <w:lang w:val="hu-HU"/>
        </w:rPr>
        <w:t>stimulus</w:t>
      </w:r>
      <w:proofErr w:type="spellEnd"/>
      <w:r>
        <w:rPr>
          <w:lang w:val="hu-HU"/>
        </w:rPr>
        <w:t xml:space="preserve"> más mintázatot vált ki ugyanazon sejten, és azonos stimulusok más és más mintázatokat váltanak ki más és más sejtekben.</w:t>
      </w:r>
      <w:r w:rsidR="00973E74">
        <w:rPr>
          <w:lang w:val="hu-HU"/>
        </w:rPr>
        <w:t xml:space="preserve"> </w:t>
      </w:r>
      <w:r>
        <w:rPr>
          <w:lang w:val="hu-HU"/>
        </w:rPr>
        <w:t>Azaz a szaginger által</w:t>
      </w:r>
      <w:r w:rsidR="00973E74">
        <w:rPr>
          <w:lang w:val="hu-HU"/>
        </w:rPr>
        <w:t xml:space="preserve"> </w:t>
      </w:r>
      <w:r>
        <w:rPr>
          <w:lang w:val="hu-HU"/>
        </w:rPr>
        <w:t xml:space="preserve">kiváltott aktivitás mintázat </w:t>
      </w:r>
      <w:proofErr w:type="spellStart"/>
      <w:r>
        <w:rPr>
          <w:lang w:val="hu-HU"/>
        </w:rPr>
        <w:t>stimulus</w:t>
      </w:r>
      <w:proofErr w:type="spellEnd"/>
      <w:r>
        <w:rPr>
          <w:lang w:val="hu-HU"/>
        </w:rPr>
        <w:t xml:space="preserve"> és sejt specifikus.</w:t>
      </w:r>
    </w:p>
    <w:p w:rsidR="00F75491" w:rsidRDefault="00F75491">
      <w:pPr>
        <w:rPr>
          <w:lang w:val="hu-HU"/>
        </w:rPr>
      </w:pPr>
    </w:p>
    <w:p w:rsidR="00F75491" w:rsidRDefault="00F75491">
      <w:pPr>
        <w:rPr>
          <w:lang w:val="hu-HU"/>
        </w:rPr>
      </w:pPr>
      <w:r>
        <w:rPr>
          <w:lang w:val="hu-HU"/>
        </w:rPr>
        <w:t xml:space="preserve">A szaglórendszerben az információkódoláshoz ismerni kell az idegsejtek azonosságát, aktivitásuk időbeni mintázatát és egymáshoz viszonyított </w:t>
      </w:r>
      <w:proofErr w:type="spellStart"/>
      <w:r>
        <w:rPr>
          <w:lang w:val="hu-HU"/>
        </w:rPr>
        <w:t>szinkronitását</w:t>
      </w:r>
      <w:proofErr w:type="spellEnd"/>
      <w:r>
        <w:rPr>
          <w:lang w:val="hu-HU"/>
        </w:rPr>
        <w:t>.</w:t>
      </w:r>
      <w:r w:rsidR="00973E74">
        <w:rPr>
          <w:lang w:val="hu-HU"/>
        </w:rPr>
        <w:t xml:space="preserve"> </w:t>
      </w:r>
      <w:r>
        <w:rPr>
          <w:lang w:val="hu-HU"/>
        </w:rPr>
        <w:t>Egyes vélemények szerint a szaglórendszerben az információkódolás egy sejtpopulációban (neuronal ensemble) dinamikusan kifejlődő aktivitás mintázattal történik (’temporal’ és ’identity’ kód).</w:t>
      </w:r>
    </w:p>
    <w:sectPr w:rsidR="00F75491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EC" w:rsidRDefault="001D5DEC" w:rsidP="0027175C">
      <w:r>
        <w:separator/>
      </w:r>
    </w:p>
  </w:endnote>
  <w:endnote w:type="continuationSeparator" w:id="0">
    <w:p w:rsidR="001D5DEC" w:rsidRDefault="001D5DEC" w:rsidP="0027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8958856"/>
      <w:docPartObj>
        <w:docPartGallery w:val="Page Numbers (Bottom of Page)"/>
        <w:docPartUnique/>
      </w:docPartObj>
    </w:sdtPr>
    <w:sdtEndPr/>
    <w:sdtContent>
      <w:p w:rsidR="0027175C" w:rsidRDefault="0027175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354" w:rsidRPr="00FB4354">
          <w:rPr>
            <w:noProof/>
            <w:lang w:val="hu-H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EC" w:rsidRDefault="001D5DEC" w:rsidP="0027175C">
      <w:r>
        <w:separator/>
      </w:r>
    </w:p>
  </w:footnote>
  <w:footnote w:type="continuationSeparator" w:id="0">
    <w:p w:rsidR="001D5DEC" w:rsidRDefault="001D5DEC" w:rsidP="0027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4D68"/>
    <w:multiLevelType w:val="hybridMultilevel"/>
    <w:tmpl w:val="C3BED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38CA"/>
    <w:multiLevelType w:val="hybridMultilevel"/>
    <w:tmpl w:val="D6AC2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1E"/>
    <w:rsid w:val="000908E5"/>
    <w:rsid w:val="0014181E"/>
    <w:rsid w:val="001A532C"/>
    <w:rsid w:val="001D5DEC"/>
    <w:rsid w:val="00204AB5"/>
    <w:rsid w:val="0027175C"/>
    <w:rsid w:val="004F318B"/>
    <w:rsid w:val="00624573"/>
    <w:rsid w:val="00713365"/>
    <w:rsid w:val="007927EF"/>
    <w:rsid w:val="008B5081"/>
    <w:rsid w:val="00973E74"/>
    <w:rsid w:val="00C15689"/>
    <w:rsid w:val="00C24DBC"/>
    <w:rsid w:val="00D27290"/>
    <w:rsid w:val="00D37F62"/>
    <w:rsid w:val="00F75491"/>
    <w:rsid w:val="00F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Cs w:val="30"/>
      <w:lang w:val="hu-HU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pPr>
      <w:spacing w:after="120"/>
    </w:pPr>
  </w:style>
  <w:style w:type="character" w:customStyle="1" w:styleId="CmChar">
    <w:name w:val="Cím Char"/>
    <w:basedOn w:val="Bekezdsalapbettpusa"/>
    <w:link w:val="Cm"/>
    <w:uiPriority w:val="10"/>
    <w:rsid w:val="00973E74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Alcm">
    <w:name w:val="Subtitle"/>
    <w:basedOn w:val="Norml"/>
    <w:next w:val="Norml"/>
    <w:link w:val="AlcmChar"/>
    <w:qFormat/>
    <w:rsid w:val="00973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973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973E74"/>
    <w:rPr>
      <w:b/>
      <w:b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973E74"/>
    <w:rPr>
      <w:b/>
      <w:bCs/>
    </w:rPr>
  </w:style>
  <w:style w:type="paragraph" w:styleId="Listaszerbekezds">
    <w:name w:val="List Paragraph"/>
    <w:basedOn w:val="Norml"/>
    <w:uiPriority w:val="34"/>
    <w:qFormat/>
    <w:rsid w:val="00973E74"/>
    <w:pPr>
      <w:ind w:left="720"/>
      <w:contextualSpacing/>
    </w:pPr>
  </w:style>
  <w:style w:type="paragraph" w:styleId="lfej">
    <w:name w:val="header"/>
    <w:basedOn w:val="Norml"/>
    <w:link w:val="lfejChar"/>
    <w:rsid w:val="002717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175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rsid w:val="002717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175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  <w:szCs w:val="30"/>
      <w:lang w:val="hu-HU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pPr>
      <w:spacing w:after="120"/>
    </w:pPr>
  </w:style>
  <w:style w:type="character" w:customStyle="1" w:styleId="CmChar">
    <w:name w:val="Cím Char"/>
    <w:basedOn w:val="Bekezdsalapbettpusa"/>
    <w:link w:val="Cm"/>
    <w:uiPriority w:val="10"/>
    <w:rsid w:val="00973E74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paragraph" w:styleId="Alcm">
    <w:name w:val="Subtitle"/>
    <w:basedOn w:val="Norml"/>
    <w:next w:val="Norml"/>
    <w:link w:val="AlcmChar"/>
    <w:qFormat/>
    <w:rsid w:val="00973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973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973E74"/>
    <w:rPr>
      <w:b/>
      <w:b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973E74"/>
    <w:rPr>
      <w:b/>
      <w:bCs/>
    </w:rPr>
  </w:style>
  <w:style w:type="paragraph" w:styleId="Listaszerbekezds">
    <w:name w:val="List Paragraph"/>
    <w:basedOn w:val="Norml"/>
    <w:uiPriority w:val="34"/>
    <w:qFormat/>
    <w:rsid w:val="00973E74"/>
    <w:pPr>
      <w:ind w:left="720"/>
      <w:contextualSpacing/>
    </w:pPr>
  </w:style>
  <w:style w:type="paragraph" w:styleId="lfej">
    <w:name w:val="header"/>
    <w:basedOn w:val="Norml"/>
    <w:link w:val="lfejChar"/>
    <w:rsid w:val="002717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175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rsid w:val="002717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17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1125</Words>
  <Characters>7763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Szaglóhámsejtek a szaglónyálkahártyában </vt:lpstr>
      <vt:lpstr>Szaglóhámsejtek a szaglónyálkahártyában </vt:lpstr>
    </vt:vector>
  </TitlesOfParts>
  <Company>MTA_KOKI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Szaglóhámsejtek a szaglónyálkahártyában</dc:title>
  <dc:creator>Tóth Noémi; Rózsás Gergely; Goda Márton Áron; Kovács Lóránt; Nusser</dc:creator>
  <cp:lastModifiedBy>Kovács Lóránt</cp:lastModifiedBy>
  <cp:revision>5</cp:revision>
  <dcterms:created xsi:type="dcterms:W3CDTF">2013-04-13T23:18:00Z</dcterms:created>
  <dcterms:modified xsi:type="dcterms:W3CDTF">2013-04-15T20:52:00Z</dcterms:modified>
</cp:coreProperties>
</file>