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Biokémia konzultáció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feladat (7 pont)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drawing>
          <wp:inline distB="0" distT="0" distL="0" distR="0">
            <wp:extent cx="2316700" cy="142339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700" cy="14233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(1) Becsülje meg az 1-es és 2-es PCR reakció ciklusszámát a küszöb értéknél.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(2) 100% PCR hatékonyságot feltételezve hányszor több anyag volt az 1-es mintában?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(3) 82% PCR hatékonyságot feltételezve hányszor több anyag volt az 1-es mintában?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2. feladat (7 pont)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Na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intracelluláris koncentrációja 14 mM, az extracelluláris koncentrációja 140 mM.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K</w:t>
      </w:r>
      <w:r w:rsidDel="00000000" w:rsidR="00000000" w:rsidRPr="00000000">
        <w:rPr>
          <w:sz w:val="30"/>
          <w:szCs w:val="30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intracelluláris koncentrációja 150 mM, az extracelluláris koncentrációja 4 mM.</w:t>
      </w:r>
    </w:p>
    <w:p w:rsidR="00000000" w:rsidDel="00000000" w:rsidP="00000000" w:rsidRDefault="00000000" w:rsidRPr="00000000">
      <w:pPr>
        <w:pBdr/>
        <w:tabs>
          <w:tab w:val="left" w:pos="4560"/>
        </w:tabs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4560"/>
        </w:tabs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Mennyi energia </w:t>
      </w:r>
      <w:r w:rsidDel="00000000" w:rsidR="00000000" w:rsidRPr="00000000">
        <w:rPr>
          <w:b w:val="1"/>
          <w:sz w:val="18"/>
          <w:szCs w:val="18"/>
          <w:rtl w:val="0"/>
        </w:rPr>
        <w:t xml:space="preserve">(ΔG - kJ/mol</w:t>
      </w:r>
      <w:r w:rsidDel="00000000" w:rsidR="00000000" w:rsidRPr="00000000">
        <w:rPr>
          <w:sz w:val="18"/>
          <w:szCs w:val="18"/>
          <w:rtl w:val="0"/>
        </w:rPr>
        <w:t xml:space="preserve">) kell a Na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ionok sejtből való kijuttatásához 37 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o</w:t>
      </w:r>
      <w:r w:rsidDel="00000000" w:rsidR="00000000" w:rsidRPr="00000000">
        <w:rPr>
          <w:sz w:val="18"/>
          <w:szCs w:val="18"/>
          <w:rtl w:val="0"/>
        </w:rPr>
        <w:t xml:space="preserve">C-on?</w:t>
      </w:r>
    </w:p>
    <w:p w:rsidR="00000000" w:rsidDel="00000000" w:rsidP="00000000" w:rsidRDefault="00000000" w:rsidRPr="00000000">
      <w:pPr>
        <w:pBdr/>
        <w:tabs>
          <w:tab w:val="left" w:pos="4560"/>
        </w:tabs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Mennyi energia (ΔG) kell a K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ionok sejtbe való bejuttatásához 37 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o</w:t>
      </w:r>
      <w:r w:rsidDel="00000000" w:rsidR="00000000" w:rsidRPr="00000000">
        <w:rPr>
          <w:sz w:val="18"/>
          <w:szCs w:val="18"/>
          <w:rtl w:val="0"/>
        </w:rPr>
        <w:t xml:space="preserve">C-on?</w:t>
      </w:r>
    </w:p>
    <w:p w:rsidR="00000000" w:rsidDel="00000000" w:rsidP="00000000" w:rsidRDefault="00000000" w:rsidRPr="00000000">
      <w:pPr>
        <w:pBdr/>
        <w:tabs>
          <w:tab w:val="left" w:pos="4560"/>
        </w:tabs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Egy ATP hidrolízise vajon fedezi-e 3 Na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kijuttatását és 2 K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rtl w:val="0"/>
        </w:rPr>
        <w:t xml:space="preserve"> bejuttatását egyszerre? (Indokolja is meg számolással.)</w:t>
      </w:r>
    </w:p>
    <w:p w:rsidR="00000000" w:rsidDel="00000000" w:rsidP="00000000" w:rsidRDefault="00000000" w:rsidRPr="00000000">
      <w:pPr>
        <w:pBdr/>
        <w:tabs>
          <w:tab w:val="left" w:pos="4560"/>
        </w:tabs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F=96485 C/mol (Faraday állandó)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ΔU= - 60 mV (membrán potenciál - belül negatív)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R= 8.314 J mol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sz w:val="18"/>
          <w:szCs w:val="18"/>
          <w:rtl w:val="0"/>
        </w:rPr>
        <w:t xml:space="preserve">·K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ATP hidrolízis szabadentalpia változása a sejtre jellemző magas ATP/ADP arány esetén: ΔG ≈ -45 kJ/mol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3. feladat (7 pont)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kemiozmotikus elmélet szerint az ATP szintézisét a mitokondriális membrán két oldalán levő eltérő protonkoncentrációból származó energia fedezi.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Használja a következő adatokat: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 = 96 485 C/mol (Faraday állandó)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ΔU = - 0.154 V (membrán potenciál, belül negatív, kívül pozitív)</w:t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 = 8.314 J mol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sz w:val="18"/>
          <w:szCs w:val="18"/>
          <w:rtl w:val="0"/>
        </w:rPr>
        <w:t xml:space="preserve">·K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08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ATP hidrolízis szabadentalpia változása (tipikus magas ATP/ADP arány esetén): ΔG ≈ - 47 kJ/mol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[H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k</w:t>
      </w:r>
      <w:r w:rsidDel="00000000" w:rsidR="00000000" w:rsidRPr="00000000">
        <w:rPr>
          <w:sz w:val="18"/>
          <w:szCs w:val="18"/>
          <w:rtl w:val="0"/>
        </w:rPr>
        <w:t xml:space="preserve">]/[H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+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b</w:t>
      </w:r>
      <w:r w:rsidDel="00000000" w:rsidR="00000000" w:rsidRPr="00000000">
        <w:rPr>
          <w:sz w:val="18"/>
          <w:szCs w:val="18"/>
          <w:rtl w:val="0"/>
        </w:rPr>
        <w:t xml:space="preserve">] = 27 arány esetén, </w:t>
      </w:r>
      <w:r w:rsidDel="00000000" w:rsidR="00000000" w:rsidRPr="00000000">
        <w:rPr>
          <w:b w:val="1"/>
          <w:sz w:val="18"/>
          <w:szCs w:val="18"/>
          <w:rtl w:val="0"/>
        </w:rPr>
        <w:t xml:space="preserve">30 </w:t>
      </w:r>
      <w:r w:rsidDel="00000000" w:rsidR="00000000" w:rsidRPr="00000000">
        <w:rPr>
          <w:b w:val="1"/>
          <w:sz w:val="18"/>
          <w:szCs w:val="18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18"/>
          <w:szCs w:val="18"/>
          <w:rtl w:val="0"/>
        </w:rPr>
        <w:t xml:space="preserve">C</w:t>
      </w:r>
      <w:r w:rsidDel="00000000" w:rsidR="00000000" w:rsidRPr="00000000">
        <w:rPr>
          <w:sz w:val="18"/>
          <w:szCs w:val="18"/>
          <w:rtl w:val="0"/>
        </w:rPr>
        <w:t xml:space="preserve">-on mennyi (kJ/mol) a protonok </w:t>
      </w:r>
      <w:r w:rsidDel="00000000" w:rsidR="00000000" w:rsidRPr="00000000">
        <w:rPr>
          <w:b w:val="1"/>
          <w:sz w:val="18"/>
          <w:szCs w:val="18"/>
          <w:rtl w:val="0"/>
        </w:rPr>
        <w:t xml:space="preserve">kijuttatásához</w:t>
      </w:r>
      <w:r w:rsidDel="00000000" w:rsidR="00000000" w:rsidRPr="00000000">
        <w:rPr>
          <w:sz w:val="18"/>
          <w:szCs w:val="18"/>
          <w:rtl w:val="0"/>
        </w:rPr>
        <w:t xml:space="preserve"> szükséges ΔG?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Hány proton (egész szám) visszajutása fedezi 1 ATP szintézisét, ha feltételezzük, hogy az ATP szintézis hatásfoka ~70%?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4. feladat (7 pont)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Egy enzimreakcióban csak a termék nyel el 410 nm-en. A termék esetén ε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410</w:t>
      </w:r>
      <w:r w:rsidDel="00000000" w:rsidR="00000000" w:rsidRPr="00000000">
        <w:rPr>
          <w:sz w:val="18"/>
          <w:szCs w:val="18"/>
          <w:rtl w:val="0"/>
        </w:rPr>
        <w:t xml:space="preserve">= 35 000 M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sz w:val="18"/>
          <w:szCs w:val="18"/>
          <w:rtl w:val="0"/>
        </w:rPr>
        <w:t xml:space="preserve">cm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abszorbancia a reakció kezdetén 0.00182-t változik másodpercenként 5 mm-es küvettában.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Mennyi a kezdeti reakciósebesség (v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0</w:t>
      </w:r>
      <w:r w:rsidDel="00000000" w:rsidR="00000000" w:rsidRPr="00000000">
        <w:rPr>
          <w:sz w:val="18"/>
          <w:szCs w:val="18"/>
          <w:rtl w:val="0"/>
        </w:rPr>
        <w:t xml:space="preserve">) ?</w:t>
      </w:r>
    </w:p>
    <w:p w:rsidR="00000000" w:rsidDel="00000000" w:rsidP="00000000" w:rsidRDefault="00000000" w:rsidRPr="00000000">
      <w:pPr>
        <w:pBdr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5. feladat (7 pont)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Intenzív (anaerob) munkavégzés esetén az emberben tejsav keletkezik a glikolízis során.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(1) Miért van erre szükség? 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(2) Írja le a tejsav (laktát) keletkezését piruvátból, feltüntetve az enzimet is.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6. feladat (7 pont)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(1) Az eukarióta sejten belül hol megy végbe a (A) glikolízis, a (B) citromsav-ciklus, és az (C) oxidatív foszforiláció?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(2) Mely ponton van összekapcsolva a citromsavciklus és az oxidatív foszforiláció?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(3) Rajzolja le egy tetszőleges intermedier képletét (nevezze is meg) a glikolízis folyamataiból!</w:t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(4) Rajzolja le egy tetszőleges intermedier képletét (nevezze is meg) a citromsav-ciklus folyamataiból!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l" w:default="1">
    <w:name w:val="Normal"/>
    <w:qFormat w:val="1"/>
    <w:rsid w:val="00CA52F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